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14551E" w:rsidRDefault="0014551E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</w:p>
    <w:p w:rsidR="004C7993" w:rsidRPr="007E6265" w:rsidRDefault="004C7993" w:rsidP="007E6265">
      <w:pPr>
        <w:spacing w:after="0" w:line="240" w:lineRule="auto"/>
        <w:jc w:val="center"/>
        <w:outlineLvl w:val="0"/>
        <w:rPr>
          <w:rFonts w:ascii="Tahoma" w:hAnsi="Tahoma" w:cs="Tahoma"/>
          <w:bCs/>
          <w:sz w:val="24"/>
          <w:szCs w:val="24"/>
        </w:rPr>
      </w:pPr>
      <w:r w:rsidRPr="007E6265">
        <w:rPr>
          <w:rFonts w:ascii="Tahoma" w:hAnsi="Tahoma" w:cs="Tahoma"/>
          <w:bCs/>
          <w:sz w:val="24"/>
          <w:szCs w:val="24"/>
        </w:rPr>
        <w:t>ПРОЕКТНАЯ ДЕКЛАРАЦИЯ</w:t>
      </w:r>
    </w:p>
    <w:p w:rsidR="004C7993" w:rsidRPr="00FA5AED" w:rsidRDefault="004C7993" w:rsidP="00691EBD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FA5AED">
        <w:rPr>
          <w:rFonts w:ascii="Tahoma" w:hAnsi="Tahoma" w:cs="Tahoma"/>
          <w:bCs/>
          <w:sz w:val="24"/>
          <w:szCs w:val="24"/>
        </w:rPr>
        <w:t xml:space="preserve">на строительство </w:t>
      </w:r>
      <w:r w:rsidR="00FA5AED" w:rsidRPr="00FA5AED">
        <w:rPr>
          <w:rFonts w:ascii="Tahoma" w:hAnsi="Tahoma" w:cs="Tahoma"/>
          <w:color w:val="000000"/>
          <w:sz w:val="24"/>
          <w:szCs w:val="24"/>
        </w:rPr>
        <w:t>жило</w:t>
      </w:r>
      <w:r w:rsidR="00B06F5E">
        <w:rPr>
          <w:rFonts w:ascii="Tahoma" w:hAnsi="Tahoma" w:cs="Tahoma"/>
          <w:color w:val="000000"/>
          <w:sz w:val="24"/>
          <w:szCs w:val="24"/>
        </w:rPr>
        <w:t>го</w:t>
      </w:r>
      <w:r w:rsidR="00FA5AED" w:rsidRPr="00FA5AED">
        <w:rPr>
          <w:rFonts w:ascii="Tahoma" w:hAnsi="Tahoma" w:cs="Tahoma"/>
          <w:color w:val="000000"/>
          <w:sz w:val="24"/>
          <w:szCs w:val="24"/>
        </w:rPr>
        <w:t xml:space="preserve"> дом</w:t>
      </w:r>
      <w:r w:rsidR="00B06F5E">
        <w:rPr>
          <w:rFonts w:ascii="Tahoma" w:hAnsi="Tahoma" w:cs="Tahoma"/>
          <w:color w:val="000000"/>
          <w:sz w:val="24"/>
          <w:szCs w:val="24"/>
        </w:rPr>
        <w:t>а</w:t>
      </w:r>
      <w:r w:rsidR="00FA5AED" w:rsidRPr="00FA5AED">
        <w:rPr>
          <w:rFonts w:ascii="Tahoma" w:hAnsi="Tahoma" w:cs="Tahoma"/>
          <w:color w:val="000000"/>
          <w:sz w:val="24"/>
          <w:szCs w:val="24"/>
        </w:rPr>
        <w:t xml:space="preserve"> с нежилыми помещениями </w:t>
      </w:r>
      <w:r w:rsidR="00691EBD">
        <w:rPr>
          <w:rFonts w:ascii="Tahoma" w:hAnsi="Tahoma" w:cs="Tahoma"/>
          <w:color w:val="000000"/>
          <w:sz w:val="24"/>
          <w:szCs w:val="24"/>
        </w:rPr>
        <w:t>по адресу: город Рязань, улица Чапаева, 57, 57 стр.1,</w:t>
      </w:r>
      <w:r w:rsidR="00F528F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691EBD">
        <w:rPr>
          <w:rFonts w:ascii="Tahoma" w:hAnsi="Tahoma" w:cs="Tahoma"/>
          <w:color w:val="000000"/>
          <w:sz w:val="24"/>
          <w:szCs w:val="24"/>
        </w:rPr>
        <w:t>57б</w:t>
      </w:r>
      <w:r w:rsidR="003E720C">
        <w:rPr>
          <w:rFonts w:ascii="Tahoma" w:hAnsi="Tahoma" w:cs="Tahoma"/>
          <w:color w:val="000000"/>
          <w:sz w:val="24"/>
          <w:szCs w:val="24"/>
        </w:rPr>
        <w:t>, участок 1</w:t>
      </w:r>
    </w:p>
    <w:p w:rsidR="004C7993" w:rsidRPr="007E6265" w:rsidRDefault="00691EBD" w:rsidP="004C799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299835" cy="4449506"/>
            <wp:effectExtent l="19050" t="0" r="5715" b="0"/>
            <wp:docPr id="1" name="Рисунок 1" descr="C:\Users\НИКС\Desktop\ТОН\Что мне дали 10.06.2014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С\Desktop\ТОН\Что мне дали 10.06.2014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4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65" w:rsidRDefault="007E6265" w:rsidP="00547A26">
      <w:pPr>
        <w:jc w:val="center"/>
      </w:pPr>
    </w:p>
    <w:p w:rsidR="009B0AFD" w:rsidRDefault="009B0AFD" w:rsidP="002602BF">
      <w:pPr>
        <w:jc w:val="center"/>
      </w:pPr>
    </w:p>
    <w:p w:rsidR="0014551E" w:rsidRDefault="0014551E" w:rsidP="002602BF">
      <w:pPr>
        <w:jc w:val="center"/>
      </w:pPr>
    </w:p>
    <w:p w:rsidR="0014551E" w:rsidRDefault="0014551E" w:rsidP="002602BF">
      <w:pPr>
        <w:jc w:val="center"/>
      </w:pPr>
    </w:p>
    <w:p w:rsidR="0014551E" w:rsidRDefault="0014551E" w:rsidP="002602BF">
      <w:pPr>
        <w:jc w:val="center"/>
      </w:pPr>
    </w:p>
    <w:p w:rsidR="0014551E" w:rsidRDefault="0014551E" w:rsidP="002602BF">
      <w:pPr>
        <w:jc w:val="center"/>
      </w:pPr>
    </w:p>
    <w:p w:rsidR="0014551E" w:rsidRDefault="0014551E" w:rsidP="002602BF">
      <w:pPr>
        <w:jc w:val="center"/>
      </w:pPr>
    </w:p>
    <w:tbl>
      <w:tblPr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936"/>
        <w:gridCol w:w="6837"/>
      </w:tblGrid>
      <w:tr w:rsidR="008922C4" w:rsidTr="00055AEA">
        <w:trPr>
          <w:trHeight w:val="99"/>
        </w:trPr>
        <w:tc>
          <w:tcPr>
            <w:tcW w:w="1002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424FAC" w:rsidRPr="00055AEA" w:rsidRDefault="00424FAC" w:rsidP="00055AEA">
            <w:pPr>
              <w:pStyle w:val="a9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055AEA">
              <w:rPr>
                <w:rFonts w:ascii="Tahoma" w:hAnsi="Tahoma" w:cs="Tahoma"/>
                <w:bCs/>
                <w:color w:val="FFFFFF"/>
                <w:sz w:val="24"/>
                <w:szCs w:val="24"/>
              </w:rPr>
              <w:lastRenderedPageBreak/>
              <w:t>ИНФО</w:t>
            </w:r>
            <w:r w:rsidR="007B3CC4" w:rsidRPr="00055AEA">
              <w:rPr>
                <w:rFonts w:ascii="Tahoma" w:hAnsi="Tahoma" w:cs="Tahoma"/>
                <w:bCs/>
                <w:color w:val="FFFFFF"/>
                <w:sz w:val="24"/>
                <w:szCs w:val="24"/>
              </w:rPr>
              <w:t>Р</w:t>
            </w:r>
            <w:r w:rsidRPr="00055AEA">
              <w:rPr>
                <w:rFonts w:ascii="Tahoma" w:hAnsi="Tahoma" w:cs="Tahoma"/>
                <w:bCs/>
                <w:color w:val="FFFFFF"/>
                <w:sz w:val="24"/>
                <w:szCs w:val="24"/>
              </w:rPr>
              <w:t>МАЦИЯ О ЗАСТРОЙЩИКЕ</w:t>
            </w:r>
          </w:p>
        </w:tc>
      </w:tr>
      <w:tr w:rsidR="002602BF" w:rsidTr="00055AEA">
        <w:trPr>
          <w:trHeight w:val="99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2602BF" w:rsidRPr="00055AEA" w:rsidRDefault="008922C4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Фирменное наименование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CB528B" w:rsidRPr="00055AEA" w:rsidRDefault="008922C4" w:rsidP="00055AEA">
            <w:pPr>
              <w:spacing w:after="0"/>
              <w:jc w:val="both"/>
              <w:rPr>
                <w:b/>
                <w:i/>
              </w:rPr>
            </w:pPr>
            <w:r w:rsidRPr="00055AEA">
              <w:rPr>
                <w:b/>
                <w:i/>
              </w:rPr>
              <w:t xml:space="preserve">Общество с ограниченной ответственностью </w:t>
            </w:r>
          </w:p>
          <w:p w:rsidR="002602BF" w:rsidRPr="00055AEA" w:rsidRDefault="008922C4" w:rsidP="00691EBD">
            <w:pPr>
              <w:spacing w:after="0"/>
              <w:jc w:val="both"/>
              <w:rPr>
                <w:b/>
                <w:i/>
              </w:rPr>
            </w:pPr>
            <w:r w:rsidRPr="00055AEA">
              <w:rPr>
                <w:b/>
                <w:i/>
              </w:rPr>
              <w:t>«</w:t>
            </w:r>
            <w:proofErr w:type="spellStart"/>
            <w:r w:rsidR="00691EBD">
              <w:rPr>
                <w:b/>
                <w:i/>
              </w:rPr>
              <w:t>Тиволи</w:t>
            </w:r>
            <w:proofErr w:type="spellEnd"/>
            <w:r w:rsidRPr="00055AEA">
              <w:rPr>
                <w:b/>
                <w:i/>
              </w:rPr>
              <w:t>»</w:t>
            </w:r>
          </w:p>
        </w:tc>
      </w:tr>
      <w:tr w:rsidR="00635680" w:rsidTr="00055AEA">
        <w:trPr>
          <w:trHeight w:val="99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35680" w:rsidRPr="00055AEA" w:rsidRDefault="00635680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Местонахождение</w:t>
            </w:r>
          </w:p>
        </w:tc>
        <w:tc>
          <w:tcPr>
            <w:tcW w:w="6363" w:type="dxa"/>
            <w:shd w:val="clear" w:color="auto" w:fill="D2EAF1"/>
          </w:tcPr>
          <w:p w:rsidR="00CD2761" w:rsidRPr="00055AEA" w:rsidRDefault="00CD2761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Юридический адрес: </w:t>
            </w:r>
            <w:r w:rsidR="00691EBD" w:rsidRPr="00691EBD">
              <w:rPr>
                <w:i/>
              </w:rPr>
              <w:t>390026 г. Рязань, ул</w:t>
            </w:r>
            <w:proofErr w:type="gramStart"/>
            <w:r w:rsidR="00691EBD" w:rsidRPr="00691EBD">
              <w:rPr>
                <w:i/>
              </w:rPr>
              <w:t>.О</w:t>
            </w:r>
            <w:proofErr w:type="gramEnd"/>
            <w:r w:rsidR="00691EBD" w:rsidRPr="00691EBD">
              <w:rPr>
                <w:i/>
              </w:rPr>
              <w:t>стровского, д.50</w:t>
            </w:r>
            <w:r w:rsidR="00691EBD" w:rsidRPr="00691EBD">
              <w:rPr>
                <w:i/>
              </w:rPr>
              <w:tab/>
            </w:r>
          </w:p>
          <w:p w:rsidR="00CD2761" w:rsidRPr="00055AEA" w:rsidRDefault="00CD2761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Офис продаж: 390000, г</w:t>
            </w:r>
            <w:proofErr w:type="gramStart"/>
            <w:r w:rsidRPr="00055AEA">
              <w:rPr>
                <w:i/>
              </w:rPr>
              <w:t>.Р</w:t>
            </w:r>
            <w:proofErr w:type="gramEnd"/>
            <w:r w:rsidRPr="00055AEA">
              <w:rPr>
                <w:i/>
              </w:rPr>
              <w:t xml:space="preserve">язань, </w:t>
            </w:r>
            <w:proofErr w:type="spellStart"/>
            <w:r w:rsidRPr="00055AEA">
              <w:rPr>
                <w:i/>
              </w:rPr>
              <w:t>ул.Пр</w:t>
            </w:r>
            <w:r w:rsidR="00E81F08" w:rsidRPr="00055AEA">
              <w:rPr>
                <w:i/>
              </w:rPr>
              <w:t>а</w:t>
            </w:r>
            <w:r w:rsidRPr="00055AEA">
              <w:rPr>
                <w:i/>
              </w:rPr>
              <w:t>во-Лыбедская</w:t>
            </w:r>
            <w:proofErr w:type="spellEnd"/>
            <w:r w:rsidRPr="00055AEA">
              <w:rPr>
                <w:i/>
              </w:rPr>
              <w:t>, д. 40, офис 12</w:t>
            </w:r>
          </w:p>
        </w:tc>
      </w:tr>
      <w:tr w:rsidR="00635680" w:rsidTr="00055AEA">
        <w:trPr>
          <w:trHeight w:val="99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635680" w:rsidRPr="00055AEA" w:rsidRDefault="00635680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Режим работы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9B0AFD" w:rsidRPr="00055AEA" w:rsidRDefault="007379CC" w:rsidP="00055AEA">
            <w:pPr>
              <w:spacing w:after="0"/>
              <w:jc w:val="both"/>
              <w:rPr>
                <w:i/>
              </w:rPr>
            </w:pPr>
            <w:proofErr w:type="spellStart"/>
            <w:proofErr w:type="gramStart"/>
            <w:r w:rsidRPr="00055AEA">
              <w:rPr>
                <w:i/>
              </w:rPr>
              <w:t>Пн</w:t>
            </w:r>
            <w:proofErr w:type="spellEnd"/>
            <w:proofErr w:type="gramEnd"/>
            <w:r w:rsidRPr="00055AEA">
              <w:rPr>
                <w:i/>
              </w:rPr>
              <w:t xml:space="preserve"> - </w:t>
            </w:r>
            <w:proofErr w:type="spellStart"/>
            <w:r w:rsidRPr="00055AEA">
              <w:rPr>
                <w:i/>
              </w:rPr>
              <w:t>Пт</w:t>
            </w:r>
            <w:proofErr w:type="spellEnd"/>
            <w:r w:rsidRPr="00055AEA">
              <w:rPr>
                <w:i/>
              </w:rPr>
              <w:t xml:space="preserve"> - с 9.00 до 19.00, Сб. - с 10</w:t>
            </w:r>
            <w:r w:rsidR="009B0AFD" w:rsidRPr="00055AEA">
              <w:rPr>
                <w:i/>
              </w:rPr>
              <w:t>.00 до 16.00, Вс. – выходной</w:t>
            </w:r>
          </w:p>
          <w:p w:rsidR="007379CC" w:rsidRPr="00055AEA" w:rsidRDefault="007379C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Тел. (4912) 50-11-11</w:t>
            </w:r>
          </w:p>
        </w:tc>
      </w:tr>
      <w:tr w:rsidR="007379CC" w:rsidTr="00055AEA">
        <w:trPr>
          <w:trHeight w:val="99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7379CC" w:rsidRPr="00055AEA" w:rsidRDefault="007379CC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Государственная регистрация</w:t>
            </w:r>
          </w:p>
        </w:tc>
        <w:tc>
          <w:tcPr>
            <w:tcW w:w="6363" w:type="dxa"/>
            <w:shd w:val="clear" w:color="auto" w:fill="D2EAF1"/>
          </w:tcPr>
          <w:p w:rsidR="00CB528B" w:rsidRPr="00055AEA" w:rsidRDefault="00CD2761" w:rsidP="00055AEA">
            <w:pPr>
              <w:spacing w:after="0"/>
              <w:jc w:val="both"/>
              <w:rPr>
                <w:b/>
                <w:i/>
              </w:rPr>
            </w:pPr>
            <w:r w:rsidRPr="00055AEA">
              <w:rPr>
                <w:b/>
                <w:i/>
              </w:rPr>
              <w:t xml:space="preserve">Общество с ограниченной ответственностью </w:t>
            </w:r>
          </w:p>
          <w:p w:rsidR="007379CC" w:rsidRPr="00055AEA" w:rsidRDefault="00CD2761" w:rsidP="00691EBD">
            <w:pPr>
              <w:spacing w:after="0"/>
              <w:jc w:val="both"/>
              <w:rPr>
                <w:i/>
              </w:rPr>
            </w:pPr>
            <w:r w:rsidRPr="00055AEA">
              <w:rPr>
                <w:b/>
                <w:i/>
              </w:rPr>
              <w:t>«</w:t>
            </w:r>
            <w:proofErr w:type="spellStart"/>
            <w:r w:rsidR="00691EBD">
              <w:rPr>
                <w:b/>
                <w:i/>
              </w:rPr>
              <w:t>Тиволи</w:t>
            </w:r>
            <w:proofErr w:type="spellEnd"/>
            <w:r w:rsidRPr="00055AEA">
              <w:rPr>
                <w:b/>
                <w:i/>
              </w:rPr>
              <w:t xml:space="preserve">»  </w:t>
            </w:r>
            <w:r w:rsidRPr="00055AEA">
              <w:rPr>
                <w:i/>
              </w:rPr>
              <w:t xml:space="preserve">зарегистрировано </w:t>
            </w:r>
            <w:r w:rsidR="00691EBD">
              <w:rPr>
                <w:i/>
              </w:rPr>
              <w:t>13</w:t>
            </w:r>
            <w:r w:rsidRPr="00055AEA">
              <w:rPr>
                <w:i/>
              </w:rPr>
              <w:t xml:space="preserve"> </w:t>
            </w:r>
            <w:r w:rsidR="00691EBD">
              <w:rPr>
                <w:i/>
              </w:rPr>
              <w:t>июня</w:t>
            </w:r>
            <w:r w:rsidRPr="00055AEA">
              <w:rPr>
                <w:i/>
              </w:rPr>
              <w:t xml:space="preserve"> 201</w:t>
            </w:r>
            <w:r w:rsidR="00691EBD">
              <w:rPr>
                <w:i/>
              </w:rPr>
              <w:t>3</w:t>
            </w:r>
            <w:r w:rsidRPr="00055AEA">
              <w:rPr>
                <w:i/>
              </w:rPr>
              <w:t xml:space="preserve"> года Межрайонной ИФНС России №</w:t>
            </w:r>
            <w:r w:rsidR="00691EBD">
              <w:rPr>
                <w:i/>
              </w:rPr>
              <w:t>2</w:t>
            </w:r>
            <w:r w:rsidRPr="00055AEA">
              <w:rPr>
                <w:i/>
              </w:rPr>
              <w:t xml:space="preserve"> по Рязанской области, ОГРН </w:t>
            </w:r>
            <w:r w:rsidR="00691EBD">
              <w:rPr>
                <w:i/>
              </w:rPr>
              <w:t>1136234007678</w:t>
            </w:r>
            <w:r w:rsidRPr="00055AEA">
              <w:rPr>
                <w:i/>
              </w:rPr>
              <w:t xml:space="preserve">, ИНН </w:t>
            </w:r>
            <w:r w:rsidR="00691EBD">
              <w:rPr>
                <w:i/>
              </w:rPr>
              <w:t>6234118023</w:t>
            </w:r>
            <w:r w:rsidRPr="00055AEA">
              <w:rPr>
                <w:i/>
              </w:rPr>
              <w:t xml:space="preserve">, КПП </w:t>
            </w:r>
            <w:r w:rsidR="00691EBD">
              <w:rPr>
                <w:i/>
              </w:rPr>
              <w:t>623404001</w:t>
            </w:r>
          </w:p>
        </w:tc>
      </w:tr>
      <w:tr w:rsidR="007379CC" w:rsidTr="00055AEA">
        <w:trPr>
          <w:trHeight w:val="99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7379CC" w:rsidRPr="00055AEA" w:rsidRDefault="007379CC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Учредители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379CC" w:rsidRPr="00055AEA" w:rsidRDefault="00691EBD" w:rsidP="00691EBD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Гудков А.А.</w:t>
            </w:r>
            <w:r w:rsidR="007379CC" w:rsidRPr="00055AEA">
              <w:rPr>
                <w:i/>
              </w:rPr>
              <w:t xml:space="preserve"> - размер доли</w:t>
            </w:r>
            <w:r>
              <w:rPr>
                <w:i/>
              </w:rPr>
              <w:t xml:space="preserve"> 1</w:t>
            </w:r>
          </w:p>
        </w:tc>
      </w:tr>
      <w:tr w:rsidR="007379CC" w:rsidTr="00055AEA">
        <w:trPr>
          <w:trHeight w:val="698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7379CC" w:rsidRPr="00055AEA" w:rsidRDefault="007379CC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Участие в проектах строительства за 3 предшествующих года</w:t>
            </w:r>
          </w:p>
        </w:tc>
        <w:tc>
          <w:tcPr>
            <w:tcW w:w="6363" w:type="dxa"/>
            <w:shd w:val="clear" w:color="auto" w:fill="D2EAF1"/>
            <w:vAlign w:val="center"/>
          </w:tcPr>
          <w:p w:rsidR="007379CC" w:rsidRPr="005F4380" w:rsidRDefault="005F4380" w:rsidP="00691EBD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691EBD">
              <w:rPr>
                <w:i/>
              </w:rPr>
              <w:t>Нет</w:t>
            </w:r>
          </w:p>
        </w:tc>
      </w:tr>
      <w:tr w:rsidR="007379CC" w:rsidTr="00055AEA">
        <w:trPr>
          <w:trHeight w:val="1283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7379CC" w:rsidRPr="00055AEA" w:rsidRDefault="007379CC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Лицензируемая деятельность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379CC" w:rsidRPr="00055AEA" w:rsidRDefault="007379CC" w:rsidP="00130C54">
            <w:pPr>
              <w:spacing w:after="0"/>
              <w:jc w:val="both"/>
              <w:rPr>
                <w:i/>
              </w:rPr>
            </w:pPr>
            <w:r w:rsidRPr="004E5A28">
              <w:rPr>
                <w:i/>
              </w:rPr>
              <w:t xml:space="preserve">Застройщиком с </w:t>
            </w:r>
            <w:r w:rsidR="006871C9" w:rsidRPr="004E5A28">
              <w:rPr>
                <w:b/>
                <w:i/>
              </w:rPr>
              <w:t>Индивидуальным предпринимателем Поповым Сергеем Ивановичем</w:t>
            </w:r>
            <w:r w:rsidRPr="004E5A28">
              <w:rPr>
                <w:i/>
              </w:rPr>
              <w:t>,</w:t>
            </w:r>
            <w:r w:rsidR="000F2F36" w:rsidRPr="004E5A28">
              <w:rPr>
                <w:i/>
              </w:rPr>
              <w:t xml:space="preserve"> </w:t>
            </w:r>
            <w:r w:rsidR="006871C9" w:rsidRPr="004E5A28">
              <w:rPr>
                <w:i/>
              </w:rPr>
              <w:t>ИНН 622701266308, ОГРН 304622935700385,</w:t>
            </w:r>
            <w:r w:rsidRPr="004E5A28">
              <w:rPr>
                <w:i/>
              </w:rPr>
              <w:t xml:space="preserve">  заключен </w:t>
            </w:r>
            <w:r w:rsidRPr="004E5A28">
              <w:rPr>
                <w:b/>
                <w:i/>
              </w:rPr>
              <w:t>Договор</w:t>
            </w:r>
            <w:r w:rsidR="006871C9" w:rsidRPr="004E5A28">
              <w:rPr>
                <w:b/>
                <w:i/>
              </w:rPr>
              <w:t xml:space="preserve"> на строительство Объекта «Жилой д</w:t>
            </w:r>
            <w:r w:rsidR="004E5A28" w:rsidRPr="004E5A28">
              <w:rPr>
                <w:b/>
                <w:i/>
              </w:rPr>
              <w:t>ом с нежилыми помещениями по адресу: город Рязань, улица Чапаева, 57, 57 стр.1, 57</w:t>
            </w:r>
            <w:r w:rsidR="00130C54">
              <w:rPr>
                <w:b/>
                <w:i/>
              </w:rPr>
              <w:t xml:space="preserve"> </w:t>
            </w:r>
            <w:r w:rsidR="004E5A28" w:rsidRPr="004E5A28">
              <w:rPr>
                <w:b/>
                <w:i/>
              </w:rPr>
              <w:t>б, участок 1</w:t>
            </w:r>
            <w:r w:rsidR="006871C9" w:rsidRPr="004E5A28">
              <w:rPr>
                <w:b/>
                <w:i/>
              </w:rPr>
              <w:t>»</w:t>
            </w:r>
            <w:r w:rsidR="00424FAC" w:rsidRPr="004E5A28">
              <w:rPr>
                <w:b/>
                <w:i/>
              </w:rPr>
              <w:t xml:space="preserve"> </w:t>
            </w:r>
            <w:r w:rsidR="006871C9" w:rsidRPr="004E5A28">
              <w:rPr>
                <w:b/>
                <w:i/>
              </w:rPr>
              <w:t xml:space="preserve"> </w:t>
            </w:r>
            <w:r w:rsidR="00166E44" w:rsidRPr="004E5A28">
              <w:rPr>
                <w:b/>
                <w:i/>
              </w:rPr>
              <w:t xml:space="preserve">№ </w:t>
            </w:r>
            <w:r w:rsidR="006871C9" w:rsidRPr="004E5A28">
              <w:rPr>
                <w:b/>
                <w:i/>
              </w:rPr>
              <w:t>1-ПСИ-14</w:t>
            </w:r>
            <w:r w:rsidR="002F4D95" w:rsidRPr="004E5A28">
              <w:rPr>
                <w:b/>
                <w:i/>
              </w:rPr>
              <w:t xml:space="preserve"> </w:t>
            </w:r>
            <w:r w:rsidR="006871C9" w:rsidRPr="004E5A28">
              <w:rPr>
                <w:b/>
                <w:i/>
              </w:rPr>
              <w:t xml:space="preserve"> от 14</w:t>
            </w:r>
            <w:r w:rsidRPr="004E5A28">
              <w:rPr>
                <w:b/>
                <w:i/>
              </w:rPr>
              <w:t xml:space="preserve"> </w:t>
            </w:r>
            <w:r w:rsidR="006871C9" w:rsidRPr="004E5A28">
              <w:rPr>
                <w:b/>
                <w:i/>
              </w:rPr>
              <w:t>февраля</w:t>
            </w:r>
            <w:r w:rsidRPr="004E5A28">
              <w:rPr>
                <w:b/>
                <w:i/>
              </w:rPr>
              <w:t xml:space="preserve"> 201</w:t>
            </w:r>
            <w:r w:rsidR="006871C9" w:rsidRPr="004E5A28">
              <w:rPr>
                <w:b/>
                <w:i/>
              </w:rPr>
              <w:t>4</w:t>
            </w:r>
            <w:r w:rsidRPr="004E5A28">
              <w:rPr>
                <w:b/>
                <w:i/>
              </w:rPr>
              <w:t xml:space="preserve"> года</w:t>
            </w:r>
            <w:r w:rsidR="006871C9">
              <w:rPr>
                <w:b/>
                <w:i/>
              </w:rPr>
              <w:t xml:space="preserve"> </w:t>
            </w:r>
          </w:p>
        </w:tc>
      </w:tr>
      <w:tr w:rsidR="00424FAC" w:rsidTr="00055AEA">
        <w:trPr>
          <w:trHeight w:val="1406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424FAC" w:rsidRPr="00055AEA" w:rsidRDefault="00424FAC" w:rsidP="00055AEA">
            <w:pPr>
              <w:pStyle w:val="a9"/>
              <w:numPr>
                <w:ilvl w:val="1"/>
                <w:numId w:val="3"/>
              </w:numPr>
              <w:tabs>
                <w:tab w:val="left" w:pos="426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Финансовый результат текущего года, размер кредиторской  и дебиторской задолженности на день опубликования проектной декларации</w:t>
            </w:r>
          </w:p>
        </w:tc>
        <w:tc>
          <w:tcPr>
            <w:tcW w:w="6363" w:type="dxa"/>
            <w:shd w:val="clear" w:color="auto" w:fill="D2EAF1"/>
          </w:tcPr>
          <w:p w:rsidR="00AE3D5C" w:rsidRPr="00055AEA" w:rsidRDefault="00AE3D5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Финансовый результат - 0 рублей (без прибыли и убытков);</w:t>
            </w:r>
          </w:p>
          <w:p w:rsidR="00AE3D5C" w:rsidRPr="004E5A28" w:rsidRDefault="00AE3D5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Размер кредиторской задолженности – </w:t>
            </w:r>
            <w:r w:rsidR="000F2F36" w:rsidRPr="004E5A28">
              <w:rPr>
                <w:i/>
              </w:rPr>
              <w:t xml:space="preserve">106 389 </w:t>
            </w:r>
            <w:r w:rsidR="001029DB" w:rsidRPr="004E5A28">
              <w:rPr>
                <w:i/>
              </w:rPr>
              <w:t>тыс.</w:t>
            </w:r>
            <w:r w:rsidR="00A538FA" w:rsidRPr="004E5A28">
              <w:rPr>
                <w:i/>
              </w:rPr>
              <w:t xml:space="preserve"> рублей</w:t>
            </w:r>
            <w:r w:rsidRPr="004E5A28">
              <w:rPr>
                <w:i/>
              </w:rPr>
              <w:t>;</w:t>
            </w:r>
          </w:p>
          <w:p w:rsidR="00424FAC" w:rsidRPr="00055AEA" w:rsidRDefault="00AE3D5C" w:rsidP="000F2F36">
            <w:pPr>
              <w:spacing w:after="0"/>
              <w:jc w:val="both"/>
              <w:rPr>
                <w:i/>
              </w:rPr>
            </w:pPr>
            <w:r w:rsidRPr="004E5A28">
              <w:rPr>
                <w:i/>
              </w:rPr>
              <w:t xml:space="preserve">Размер дебиторской задолженности – </w:t>
            </w:r>
            <w:r w:rsidR="000F2F36" w:rsidRPr="004E5A28">
              <w:rPr>
                <w:i/>
              </w:rPr>
              <w:t>90</w:t>
            </w:r>
            <w:r w:rsidR="001029DB" w:rsidRPr="004E5A28">
              <w:rPr>
                <w:i/>
              </w:rPr>
              <w:t> </w:t>
            </w:r>
            <w:r w:rsidR="000F2F36" w:rsidRPr="004E5A28">
              <w:rPr>
                <w:i/>
              </w:rPr>
              <w:t>199</w:t>
            </w:r>
            <w:r w:rsidR="001029DB" w:rsidRPr="004E5A28">
              <w:rPr>
                <w:i/>
              </w:rPr>
              <w:t xml:space="preserve"> тыс.</w:t>
            </w:r>
            <w:r w:rsidR="00A538FA" w:rsidRPr="004E5A28">
              <w:rPr>
                <w:i/>
              </w:rPr>
              <w:t xml:space="preserve"> рублей</w:t>
            </w:r>
            <w:r w:rsidRPr="004E5A28">
              <w:rPr>
                <w:i/>
              </w:rPr>
              <w:t>.</w:t>
            </w:r>
          </w:p>
        </w:tc>
      </w:tr>
      <w:tr w:rsidR="00424FAC" w:rsidTr="00055AEA">
        <w:trPr>
          <w:trHeight w:val="380"/>
        </w:trPr>
        <w:tc>
          <w:tcPr>
            <w:tcW w:w="1002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424FAC" w:rsidRPr="00055AEA" w:rsidRDefault="00424FAC" w:rsidP="00055AEA">
            <w:pPr>
              <w:pStyle w:val="a9"/>
              <w:numPr>
                <w:ilvl w:val="0"/>
                <w:numId w:val="3"/>
              </w:numPr>
              <w:spacing w:after="0"/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</w:pPr>
            <w:r w:rsidRPr="00055AEA">
              <w:rPr>
                <w:rFonts w:ascii="Tahoma" w:hAnsi="Tahoma" w:cs="Tahoma"/>
                <w:color w:val="FFFFFF"/>
                <w:sz w:val="24"/>
                <w:szCs w:val="24"/>
              </w:rPr>
              <w:t>ИНФОРМАЦИЯ О ПРОЕКТЕ СТРОИТЕЛЬСТВА</w:t>
            </w:r>
          </w:p>
          <w:p w:rsidR="00424FAC" w:rsidRPr="00055AEA" w:rsidRDefault="00424FAC" w:rsidP="00055AEA">
            <w:pPr>
              <w:spacing w:after="0"/>
              <w:jc w:val="center"/>
              <w:rPr>
                <w:b/>
                <w:bCs/>
                <w:i/>
                <w:color w:val="FFFFFF"/>
              </w:rPr>
            </w:pPr>
          </w:p>
        </w:tc>
      </w:tr>
      <w:tr w:rsidR="00635680" w:rsidTr="00055AEA">
        <w:trPr>
          <w:trHeight w:val="410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2602BF" w:rsidRPr="00055AEA" w:rsidRDefault="006C221F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Цель проекта строительства, этапы, сроки его реализации</w:t>
            </w:r>
          </w:p>
        </w:tc>
        <w:tc>
          <w:tcPr>
            <w:tcW w:w="6363" w:type="dxa"/>
            <w:shd w:val="clear" w:color="auto" w:fill="D2EAF1"/>
          </w:tcPr>
          <w:p w:rsidR="0054587C" w:rsidRPr="0054587C" w:rsidRDefault="006C221F" w:rsidP="00055AEA">
            <w:pPr>
              <w:spacing w:after="0"/>
              <w:jc w:val="both"/>
              <w:rPr>
                <w:rFonts w:asciiTheme="minorHAnsi" w:hAnsiTheme="minorHAnsi"/>
                <w:bCs/>
                <w:i/>
              </w:rPr>
            </w:pPr>
            <w:r w:rsidRPr="0054587C">
              <w:rPr>
                <w:rFonts w:asciiTheme="minorHAnsi" w:hAnsiTheme="minorHAnsi"/>
                <w:i/>
              </w:rPr>
              <w:t xml:space="preserve">Строительство </w:t>
            </w:r>
            <w:r w:rsidR="00FA5AED" w:rsidRPr="0054587C">
              <w:rPr>
                <w:rFonts w:asciiTheme="minorHAnsi" w:hAnsiTheme="minorHAnsi" w:cs="Tahoma"/>
                <w:i/>
                <w:color w:val="000000"/>
              </w:rPr>
              <w:t>жило</w:t>
            </w:r>
            <w:r w:rsidR="00896246" w:rsidRPr="0054587C">
              <w:rPr>
                <w:rFonts w:asciiTheme="minorHAnsi" w:hAnsiTheme="minorHAnsi" w:cs="Tahoma"/>
                <w:i/>
                <w:color w:val="000000"/>
              </w:rPr>
              <w:t>го</w:t>
            </w:r>
            <w:r w:rsidR="00C01994" w:rsidRPr="0054587C">
              <w:rPr>
                <w:rFonts w:asciiTheme="minorHAnsi" w:hAnsiTheme="minorHAnsi" w:cs="Tahoma"/>
                <w:i/>
                <w:color w:val="000000"/>
              </w:rPr>
              <w:t xml:space="preserve"> </w:t>
            </w:r>
            <w:r w:rsidR="00FA5AED" w:rsidRPr="0054587C">
              <w:rPr>
                <w:rFonts w:asciiTheme="minorHAnsi" w:hAnsiTheme="minorHAnsi" w:cs="Tahoma"/>
                <w:i/>
                <w:color w:val="000000"/>
              </w:rPr>
              <w:t>дом</w:t>
            </w:r>
            <w:r w:rsidR="00896246" w:rsidRPr="0054587C">
              <w:rPr>
                <w:rFonts w:asciiTheme="minorHAnsi" w:hAnsiTheme="minorHAnsi" w:cs="Tahoma"/>
                <w:i/>
                <w:color w:val="000000"/>
              </w:rPr>
              <w:t>а</w:t>
            </w:r>
            <w:r w:rsidR="00FA5AED" w:rsidRPr="0054587C">
              <w:rPr>
                <w:rFonts w:asciiTheme="minorHAnsi" w:hAnsiTheme="minorHAnsi" w:cs="Tahoma"/>
                <w:i/>
                <w:color w:val="000000"/>
              </w:rPr>
              <w:t xml:space="preserve"> с нежилыми помещениями </w:t>
            </w:r>
            <w:r w:rsidR="0054587C" w:rsidRPr="0054587C">
              <w:rPr>
                <w:rFonts w:asciiTheme="minorHAnsi" w:hAnsiTheme="minorHAnsi" w:cs="Tahoma"/>
                <w:i/>
                <w:color w:val="000000"/>
              </w:rPr>
              <w:t>по адресу: город Рязань, улица Чапаева, д.57, д.57 стр.1, д.57б</w:t>
            </w:r>
            <w:r w:rsidR="003E720C">
              <w:rPr>
                <w:rFonts w:asciiTheme="minorHAnsi" w:hAnsiTheme="minorHAnsi" w:cs="Tahoma"/>
                <w:i/>
                <w:color w:val="000000"/>
              </w:rPr>
              <w:t>, участок 1</w:t>
            </w:r>
          </w:p>
          <w:p w:rsidR="00F528FD" w:rsidRDefault="00435AF7" w:rsidP="00F528FD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54587C">
              <w:rPr>
                <w:rFonts w:asciiTheme="minorHAnsi" w:hAnsiTheme="minorHAnsi"/>
                <w:bCs/>
              </w:rPr>
              <w:t xml:space="preserve">Строительный адрес: </w:t>
            </w:r>
            <w:r w:rsidRPr="0054587C">
              <w:rPr>
                <w:rFonts w:asciiTheme="minorHAnsi" w:hAnsiTheme="minorHAnsi"/>
                <w:b/>
                <w:bCs/>
              </w:rPr>
              <w:t>Рязанская</w:t>
            </w:r>
            <w:r w:rsidR="0000147D" w:rsidRPr="0054587C">
              <w:rPr>
                <w:rFonts w:asciiTheme="minorHAnsi" w:hAnsiTheme="minorHAnsi"/>
                <w:b/>
                <w:bCs/>
              </w:rPr>
              <w:t xml:space="preserve"> область, г</w:t>
            </w:r>
            <w:proofErr w:type="gramStart"/>
            <w:r w:rsidR="0000147D" w:rsidRPr="0054587C">
              <w:rPr>
                <w:rFonts w:asciiTheme="minorHAnsi" w:hAnsiTheme="minorHAnsi"/>
                <w:b/>
                <w:bCs/>
              </w:rPr>
              <w:t>.Р</w:t>
            </w:r>
            <w:proofErr w:type="gramEnd"/>
            <w:r w:rsidR="0000147D" w:rsidRPr="0054587C">
              <w:rPr>
                <w:rFonts w:asciiTheme="minorHAnsi" w:hAnsiTheme="minorHAnsi"/>
                <w:b/>
                <w:bCs/>
              </w:rPr>
              <w:t xml:space="preserve">язань, </w:t>
            </w:r>
            <w:r w:rsidR="0054587C" w:rsidRPr="0054587C">
              <w:rPr>
                <w:rFonts w:asciiTheme="minorHAnsi" w:hAnsiTheme="minorHAnsi" w:cs="Tahoma"/>
                <w:b/>
                <w:color w:val="000000"/>
              </w:rPr>
              <w:t>улица Чапаева, 57,</w:t>
            </w:r>
            <w:r w:rsidR="00F528FD"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 w:rsidR="0054587C" w:rsidRPr="0054587C">
              <w:rPr>
                <w:rFonts w:asciiTheme="minorHAnsi" w:hAnsiTheme="minorHAnsi" w:cs="Tahoma"/>
                <w:b/>
                <w:color w:val="000000"/>
              </w:rPr>
              <w:t>57 стр.1,</w:t>
            </w:r>
            <w:r w:rsidR="00F528FD"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 w:rsidR="0054587C" w:rsidRPr="0054587C">
              <w:rPr>
                <w:rFonts w:asciiTheme="minorHAnsi" w:hAnsiTheme="minorHAnsi" w:cs="Tahoma"/>
                <w:b/>
                <w:color w:val="000000"/>
              </w:rPr>
              <w:t>57б</w:t>
            </w:r>
            <w:r w:rsidR="00F528FD">
              <w:rPr>
                <w:rFonts w:asciiTheme="minorHAnsi" w:hAnsiTheme="minorHAnsi" w:cs="Tahoma"/>
                <w:b/>
                <w:color w:val="000000"/>
              </w:rPr>
              <w:t xml:space="preserve"> участок 1</w:t>
            </w:r>
          </w:p>
          <w:p w:rsidR="006C221F" w:rsidRPr="00F528FD" w:rsidRDefault="006C221F" w:rsidP="00F528FD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055AEA">
              <w:rPr>
                <w:i/>
              </w:rPr>
              <w:t xml:space="preserve">Строительство </w:t>
            </w:r>
            <w:r w:rsidR="0054587C">
              <w:rPr>
                <w:i/>
              </w:rPr>
              <w:t>жилого дома</w:t>
            </w:r>
            <w:r w:rsidRPr="00055AEA">
              <w:rPr>
                <w:i/>
              </w:rPr>
              <w:t xml:space="preserve"> осуществля</w:t>
            </w:r>
            <w:r w:rsidR="009B0AFD" w:rsidRPr="00055AEA">
              <w:rPr>
                <w:i/>
              </w:rPr>
              <w:t>ется в 1 этап</w:t>
            </w:r>
          </w:p>
          <w:p w:rsidR="006C221F" w:rsidRPr="00055AEA" w:rsidRDefault="006C221F" w:rsidP="0054587C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Окончание строительства 1-го этапа строительства: </w:t>
            </w:r>
            <w:r w:rsidR="0054587C" w:rsidRPr="0054587C">
              <w:rPr>
                <w:rFonts w:asciiTheme="minorHAnsi" w:hAnsiTheme="minorHAnsi" w:cs="Tahoma"/>
                <w:i/>
                <w:color w:val="000000"/>
              </w:rPr>
              <w:t>жилого дома с нежилыми помещениями</w:t>
            </w:r>
            <w:r w:rsidR="0054587C" w:rsidRPr="00055AEA">
              <w:rPr>
                <w:i/>
              </w:rPr>
              <w:t xml:space="preserve"> </w:t>
            </w:r>
            <w:r w:rsidRPr="00055AEA">
              <w:rPr>
                <w:i/>
              </w:rPr>
              <w:t>–</w:t>
            </w:r>
            <w:r w:rsidR="00C01994">
              <w:rPr>
                <w:i/>
              </w:rPr>
              <w:t xml:space="preserve">    </w:t>
            </w:r>
            <w:r w:rsidR="00FA5AED" w:rsidRPr="00C01994">
              <w:rPr>
                <w:i/>
                <w:lang w:val="en-US"/>
              </w:rPr>
              <w:t>I</w:t>
            </w:r>
            <w:r w:rsidR="00166E44">
              <w:rPr>
                <w:i/>
                <w:lang w:val="en-US"/>
              </w:rPr>
              <w:t>V</w:t>
            </w:r>
            <w:r w:rsidRPr="00C01994">
              <w:rPr>
                <w:i/>
              </w:rPr>
              <w:t xml:space="preserve"> квартал 201</w:t>
            </w:r>
            <w:r w:rsidR="0054587C">
              <w:rPr>
                <w:i/>
              </w:rPr>
              <w:t>6</w:t>
            </w:r>
            <w:r w:rsidRPr="00C01994">
              <w:rPr>
                <w:i/>
              </w:rPr>
              <w:t xml:space="preserve"> года</w:t>
            </w:r>
          </w:p>
        </w:tc>
      </w:tr>
      <w:tr w:rsidR="00A85685" w:rsidTr="0057502E">
        <w:trPr>
          <w:trHeight w:val="1040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A85685" w:rsidRPr="00055AEA" w:rsidRDefault="00A85685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Результат государственной экспертизы проектной документации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5685" w:rsidRPr="00055AEA" w:rsidRDefault="00A85685" w:rsidP="0054587C">
            <w:pPr>
              <w:spacing w:after="0"/>
              <w:jc w:val="both"/>
              <w:rPr>
                <w:i/>
              </w:rPr>
            </w:pPr>
            <w:r w:rsidRPr="006E6959">
              <w:rPr>
                <w:i/>
              </w:rPr>
              <w:t xml:space="preserve">Положительное заключение </w:t>
            </w:r>
            <w:r w:rsidR="0054587C">
              <w:rPr>
                <w:i/>
              </w:rPr>
              <w:t>не</w:t>
            </w:r>
            <w:r w:rsidRPr="006E6959">
              <w:rPr>
                <w:i/>
              </w:rPr>
              <w:t xml:space="preserve">государственной экспертизы                   </w:t>
            </w:r>
            <w:r w:rsidR="008D2230" w:rsidRPr="006E6959">
              <w:rPr>
                <w:i/>
              </w:rPr>
              <w:t xml:space="preserve">                          </w:t>
            </w:r>
            <w:r w:rsidRPr="006E6959">
              <w:rPr>
                <w:i/>
              </w:rPr>
              <w:t xml:space="preserve">№ </w:t>
            </w:r>
            <w:r w:rsidR="0054587C">
              <w:rPr>
                <w:i/>
              </w:rPr>
              <w:t>76-1-2-0041-14</w:t>
            </w:r>
            <w:r w:rsidRPr="006E6959">
              <w:rPr>
                <w:i/>
              </w:rPr>
              <w:t xml:space="preserve"> от «</w:t>
            </w:r>
            <w:r w:rsidR="0054587C">
              <w:rPr>
                <w:i/>
              </w:rPr>
              <w:t>16</w:t>
            </w:r>
            <w:r w:rsidRPr="006E6959">
              <w:rPr>
                <w:i/>
              </w:rPr>
              <w:t xml:space="preserve">» </w:t>
            </w:r>
            <w:r w:rsidR="006E6959">
              <w:rPr>
                <w:i/>
              </w:rPr>
              <w:t>ию</w:t>
            </w:r>
            <w:r w:rsidR="0054587C">
              <w:rPr>
                <w:i/>
              </w:rPr>
              <w:t>н</w:t>
            </w:r>
            <w:r w:rsidR="006E6959">
              <w:rPr>
                <w:i/>
              </w:rPr>
              <w:t>я</w:t>
            </w:r>
            <w:r w:rsidRPr="006E6959">
              <w:rPr>
                <w:i/>
              </w:rPr>
              <w:t xml:space="preserve"> 20</w:t>
            </w:r>
            <w:r w:rsidR="009B0AFD" w:rsidRPr="006E6959">
              <w:rPr>
                <w:i/>
              </w:rPr>
              <w:t>1</w:t>
            </w:r>
            <w:r w:rsidR="0054587C">
              <w:rPr>
                <w:i/>
              </w:rPr>
              <w:t>4</w:t>
            </w:r>
            <w:r w:rsidRPr="006E6959">
              <w:rPr>
                <w:i/>
              </w:rPr>
              <w:t xml:space="preserve"> г</w:t>
            </w:r>
            <w:r w:rsidR="009B0AFD" w:rsidRPr="006E6959">
              <w:rPr>
                <w:i/>
              </w:rPr>
              <w:t xml:space="preserve">ода </w:t>
            </w:r>
            <w:r w:rsidRPr="006E6959">
              <w:rPr>
                <w:i/>
              </w:rPr>
              <w:t xml:space="preserve">выданное </w:t>
            </w:r>
            <w:r w:rsidR="0054587C">
              <w:rPr>
                <w:i/>
              </w:rPr>
              <w:t>Закрытым акционерным обществом «</w:t>
            </w:r>
            <w:proofErr w:type="spellStart"/>
            <w:r w:rsidR="0054587C">
              <w:rPr>
                <w:i/>
              </w:rPr>
              <w:t>Верхне-Волжский</w:t>
            </w:r>
            <w:proofErr w:type="spellEnd"/>
            <w:r w:rsidR="0054587C">
              <w:rPr>
                <w:i/>
              </w:rPr>
              <w:t xml:space="preserve"> Институт Строительной Экспертизы и Консалтинга» </w:t>
            </w:r>
          </w:p>
        </w:tc>
      </w:tr>
      <w:tr w:rsidR="00A85685" w:rsidTr="008D2230">
        <w:trPr>
          <w:trHeight w:val="645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A85685" w:rsidRPr="00055AEA" w:rsidRDefault="00A85685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Разрешение на строительство</w:t>
            </w:r>
          </w:p>
        </w:tc>
        <w:tc>
          <w:tcPr>
            <w:tcW w:w="6363" w:type="dxa"/>
            <w:shd w:val="clear" w:color="auto" w:fill="D2EAF1"/>
          </w:tcPr>
          <w:p w:rsidR="00A85685" w:rsidRPr="00055AEA" w:rsidRDefault="00A85685" w:rsidP="000F2F36">
            <w:pPr>
              <w:spacing w:after="0"/>
              <w:jc w:val="both"/>
              <w:rPr>
                <w:i/>
              </w:rPr>
            </w:pPr>
            <w:r w:rsidRPr="004E5A28">
              <w:rPr>
                <w:i/>
              </w:rPr>
              <w:t>Разрешение на строительство №</w:t>
            </w:r>
            <w:r w:rsidR="009B0AFD" w:rsidRPr="004E5A28">
              <w:rPr>
                <w:i/>
              </w:rPr>
              <w:t xml:space="preserve"> </w:t>
            </w:r>
            <w:r w:rsidR="0000147D" w:rsidRPr="004E5A28">
              <w:rPr>
                <w:i/>
                <w:lang w:val="en-US"/>
              </w:rPr>
              <w:t>RU</w:t>
            </w:r>
            <w:r w:rsidR="0000147D" w:rsidRPr="004E5A28">
              <w:rPr>
                <w:i/>
              </w:rPr>
              <w:t>62326000-</w:t>
            </w:r>
            <w:r w:rsidR="000F2F36" w:rsidRPr="004E5A28">
              <w:rPr>
                <w:i/>
              </w:rPr>
              <w:t>78</w:t>
            </w:r>
            <w:r w:rsidR="0000147D" w:rsidRPr="004E5A28">
              <w:rPr>
                <w:i/>
              </w:rPr>
              <w:t>/201</w:t>
            </w:r>
            <w:r w:rsidR="000F2F36" w:rsidRPr="004E5A28">
              <w:rPr>
                <w:i/>
              </w:rPr>
              <w:t>4</w:t>
            </w:r>
            <w:r w:rsidR="0000147D" w:rsidRPr="004E5A28">
              <w:rPr>
                <w:i/>
              </w:rPr>
              <w:t>/РС</w:t>
            </w:r>
            <w:r w:rsidR="009B0AFD" w:rsidRPr="004E5A28">
              <w:rPr>
                <w:i/>
              </w:rPr>
              <w:t xml:space="preserve">   </w:t>
            </w:r>
            <w:r w:rsidR="0000147D" w:rsidRPr="004E5A28">
              <w:rPr>
                <w:i/>
              </w:rPr>
              <w:t xml:space="preserve">              </w:t>
            </w:r>
            <w:r w:rsidRPr="004E5A28">
              <w:rPr>
                <w:i/>
              </w:rPr>
              <w:t xml:space="preserve"> </w:t>
            </w:r>
            <w:r w:rsidR="008D2230" w:rsidRPr="004E5A28">
              <w:rPr>
                <w:i/>
              </w:rPr>
              <w:t xml:space="preserve">                                         </w:t>
            </w:r>
            <w:r w:rsidRPr="004E5A28">
              <w:rPr>
                <w:i/>
              </w:rPr>
              <w:t>от «</w:t>
            </w:r>
            <w:r w:rsidR="000F2F36" w:rsidRPr="004E5A28">
              <w:rPr>
                <w:i/>
              </w:rPr>
              <w:t>01</w:t>
            </w:r>
            <w:r w:rsidRPr="004E5A28">
              <w:rPr>
                <w:i/>
              </w:rPr>
              <w:t>»</w:t>
            </w:r>
            <w:r w:rsidR="0057502E" w:rsidRPr="004E5A28">
              <w:rPr>
                <w:i/>
              </w:rPr>
              <w:t xml:space="preserve"> июля</w:t>
            </w:r>
            <w:r w:rsidRPr="004E5A28">
              <w:rPr>
                <w:i/>
              </w:rPr>
              <w:t xml:space="preserve"> 20</w:t>
            </w:r>
            <w:r w:rsidR="009B0AFD" w:rsidRPr="004E5A28">
              <w:rPr>
                <w:i/>
              </w:rPr>
              <w:t>1</w:t>
            </w:r>
            <w:r w:rsidR="000F2F36" w:rsidRPr="004E5A28">
              <w:rPr>
                <w:i/>
              </w:rPr>
              <w:t>4</w:t>
            </w:r>
            <w:r w:rsidRPr="004E5A28">
              <w:rPr>
                <w:i/>
              </w:rPr>
              <w:t xml:space="preserve"> г</w:t>
            </w:r>
            <w:r w:rsidR="009B0AFD" w:rsidRPr="004E5A28">
              <w:rPr>
                <w:i/>
              </w:rPr>
              <w:t>ода</w:t>
            </w:r>
            <w:r w:rsidRPr="004E5A28">
              <w:rPr>
                <w:i/>
              </w:rPr>
              <w:t xml:space="preserve"> выдано Администрацией </w:t>
            </w:r>
            <w:proofErr w:type="gramStart"/>
            <w:r w:rsidRPr="004E5A28">
              <w:rPr>
                <w:i/>
              </w:rPr>
              <w:t>г</w:t>
            </w:r>
            <w:proofErr w:type="gramEnd"/>
            <w:r w:rsidRPr="004E5A28">
              <w:rPr>
                <w:i/>
              </w:rPr>
              <w:t>. Рязани</w:t>
            </w:r>
          </w:p>
        </w:tc>
      </w:tr>
      <w:tr w:rsidR="00A85685" w:rsidTr="00D9171E">
        <w:trPr>
          <w:trHeight w:val="1401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A85685" w:rsidRPr="00055AEA" w:rsidRDefault="00A85685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Права на земельные участки, площади земельных участков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85685" w:rsidRPr="00055AEA" w:rsidRDefault="00A85685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Застройщик на праве </w:t>
            </w:r>
            <w:r w:rsidR="00D9171E">
              <w:rPr>
                <w:i/>
              </w:rPr>
              <w:t>аренды</w:t>
            </w:r>
            <w:r w:rsidRPr="00055AEA">
              <w:rPr>
                <w:i/>
              </w:rPr>
              <w:t xml:space="preserve"> владеет:</w:t>
            </w:r>
          </w:p>
          <w:p w:rsidR="00A85685" w:rsidRDefault="00A85685" w:rsidP="00D9171E">
            <w:pPr>
              <w:spacing w:after="0" w:line="240" w:lineRule="auto"/>
              <w:jc w:val="both"/>
              <w:rPr>
                <w:i/>
              </w:rPr>
            </w:pPr>
            <w:r w:rsidRPr="00055AEA">
              <w:rPr>
                <w:i/>
              </w:rPr>
              <w:t xml:space="preserve"> </w:t>
            </w:r>
            <w:proofErr w:type="gramStart"/>
            <w:r w:rsidRPr="00055AEA">
              <w:rPr>
                <w:i/>
              </w:rPr>
              <w:t>- Земельным участком с кадастровым № 62:29:</w:t>
            </w:r>
            <w:r w:rsidR="009B0AFD" w:rsidRPr="00055AEA">
              <w:rPr>
                <w:i/>
              </w:rPr>
              <w:t>00</w:t>
            </w:r>
            <w:r w:rsidR="00D9171E">
              <w:rPr>
                <w:i/>
              </w:rPr>
              <w:t>80047</w:t>
            </w:r>
            <w:r w:rsidR="009B0AFD" w:rsidRPr="00055AEA">
              <w:rPr>
                <w:i/>
              </w:rPr>
              <w:t>:</w:t>
            </w:r>
            <w:r w:rsidR="00D9171E">
              <w:rPr>
                <w:i/>
              </w:rPr>
              <w:t>36</w:t>
            </w:r>
            <w:r w:rsidRPr="00055AEA">
              <w:rPr>
                <w:i/>
              </w:rPr>
              <w:t>, общей площадью</w:t>
            </w:r>
            <w:r w:rsidR="00BF7156">
              <w:rPr>
                <w:i/>
              </w:rPr>
              <w:t xml:space="preserve"> </w:t>
            </w:r>
            <w:r w:rsidR="00D9171E">
              <w:rPr>
                <w:i/>
              </w:rPr>
              <w:t xml:space="preserve">17 043 </w:t>
            </w:r>
            <w:r w:rsidRPr="00055AEA">
              <w:rPr>
                <w:i/>
              </w:rPr>
              <w:t>кв.м., расположенным по адресу:</w:t>
            </w:r>
            <w:proofErr w:type="gramEnd"/>
            <w:r w:rsidR="00BF7156">
              <w:rPr>
                <w:i/>
              </w:rPr>
              <w:t xml:space="preserve"> </w:t>
            </w:r>
            <w:r w:rsidR="00D9171E" w:rsidRPr="00D9171E">
              <w:rPr>
                <w:rFonts w:asciiTheme="minorHAnsi" w:hAnsiTheme="minorHAnsi"/>
                <w:bCs/>
                <w:i/>
              </w:rPr>
              <w:t>Рязанская область, г</w:t>
            </w:r>
            <w:proofErr w:type="gramStart"/>
            <w:r w:rsidR="00D9171E" w:rsidRPr="00D9171E">
              <w:rPr>
                <w:rFonts w:asciiTheme="minorHAnsi" w:hAnsiTheme="minorHAnsi"/>
                <w:bCs/>
                <w:i/>
              </w:rPr>
              <w:t>.Р</w:t>
            </w:r>
            <w:proofErr w:type="gramEnd"/>
            <w:r w:rsidR="00D9171E" w:rsidRPr="00D9171E">
              <w:rPr>
                <w:rFonts w:asciiTheme="minorHAnsi" w:hAnsiTheme="minorHAnsi"/>
                <w:bCs/>
                <w:i/>
              </w:rPr>
              <w:t xml:space="preserve">язань, </w:t>
            </w:r>
            <w:r w:rsidR="00D9171E" w:rsidRPr="00D9171E">
              <w:rPr>
                <w:rFonts w:asciiTheme="minorHAnsi" w:hAnsiTheme="minorHAnsi" w:cs="Tahoma"/>
                <w:i/>
                <w:color w:val="000000"/>
              </w:rPr>
              <w:t>улица Чапаева, д.57, д.57 стр.1, д.57б</w:t>
            </w:r>
            <w:r w:rsidR="00BA498E">
              <w:rPr>
                <w:rFonts w:asciiTheme="minorHAnsi" w:hAnsiTheme="minorHAnsi" w:cs="Tahoma"/>
                <w:i/>
                <w:color w:val="000000"/>
              </w:rPr>
              <w:t>(участок 1)</w:t>
            </w:r>
            <w:r w:rsidR="00D9171E">
              <w:rPr>
                <w:rFonts w:asciiTheme="minorHAnsi" w:hAnsiTheme="minorHAnsi" w:cs="Tahoma"/>
                <w:b/>
                <w:bCs/>
              </w:rPr>
              <w:t xml:space="preserve"> </w:t>
            </w:r>
            <w:r w:rsidRPr="00055AEA">
              <w:rPr>
                <w:i/>
              </w:rPr>
              <w:t>(</w:t>
            </w:r>
            <w:r w:rsidR="00D9171E">
              <w:rPr>
                <w:i/>
              </w:rPr>
              <w:t>Советский</w:t>
            </w:r>
            <w:r w:rsidRPr="00055AEA">
              <w:rPr>
                <w:i/>
              </w:rPr>
              <w:t xml:space="preserve"> район) на основании:</w:t>
            </w:r>
            <w:r w:rsidR="009B0AFD" w:rsidRPr="00055AEA">
              <w:rPr>
                <w:i/>
              </w:rPr>
              <w:t xml:space="preserve"> </w:t>
            </w:r>
            <w:r w:rsidR="00D9171E">
              <w:rPr>
                <w:i/>
              </w:rPr>
              <w:t>договора аренды б/</w:t>
            </w:r>
            <w:proofErr w:type="spellStart"/>
            <w:r w:rsidR="00D9171E">
              <w:rPr>
                <w:i/>
              </w:rPr>
              <w:t>н</w:t>
            </w:r>
            <w:proofErr w:type="spellEnd"/>
            <w:r w:rsidR="00D9171E">
              <w:rPr>
                <w:i/>
              </w:rPr>
              <w:t xml:space="preserve"> от 28.05.2014</w:t>
            </w:r>
          </w:p>
          <w:p w:rsidR="008D6269" w:rsidRDefault="008D6269" w:rsidP="00D9171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Собственники земельного участка:</w:t>
            </w:r>
          </w:p>
          <w:p w:rsidR="008D6269" w:rsidRDefault="008D6269" w:rsidP="00D9171E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- Сальникова Наталия Ивановна (1/2 (одна втор</w:t>
            </w:r>
            <w:r w:rsidR="00205522">
              <w:rPr>
                <w:i/>
              </w:rPr>
              <w:t>а</w:t>
            </w:r>
            <w:r>
              <w:rPr>
                <w:i/>
              </w:rPr>
              <w:t>я) доля в праве общей долевой собственности;</w:t>
            </w:r>
          </w:p>
          <w:p w:rsidR="008D6269" w:rsidRPr="00D9171E" w:rsidRDefault="008D6269" w:rsidP="008D6269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proofErr w:type="gramStart"/>
            <w:r>
              <w:rPr>
                <w:i/>
              </w:rPr>
              <w:lastRenderedPageBreak/>
              <w:t>- Бородин Евгений Игоревич (1/2 (одна втор</w:t>
            </w:r>
            <w:r w:rsidR="00205522">
              <w:rPr>
                <w:i/>
              </w:rPr>
              <w:t>а</w:t>
            </w:r>
            <w:r>
              <w:rPr>
                <w:i/>
              </w:rPr>
              <w:t>я) доля в праве общей долевой собственности</w:t>
            </w:r>
            <w:proofErr w:type="gramEnd"/>
          </w:p>
        </w:tc>
      </w:tr>
      <w:tr w:rsidR="009B0AFD" w:rsidTr="00055AEA">
        <w:trPr>
          <w:trHeight w:val="2319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B0AFD" w:rsidRPr="00055AEA" w:rsidRDefault="009B0AFD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lastRenderedPageBreak/>
              <w:t>Элементы благоустройства</w:t>
            </w:r>
          </w:p>
        </w:tc>
        <w:tc>
          <w:tcPr>
            <w:tcW w:w="6363" w:type="dxa"/>
            <w:shd w:val="clear" w:color="auto" w:fill="D2EAF1"/>
          </w:tcPr>
          <w:p w:rsidR="009B0AFD" w:rsidRPr="00055AEA" w:rsidRDefault="009B0AFD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На территории двора </w:t>
            </w:r>
            <w:r w:rsidR="005C4B41" w:rsidRPr="00055AEA">
              <w:rPr>
                <w:i/>
              </w:rPr>
              <w:t xml:space="preserve"> </w:t>
            </w:r>
            <w:r w:rsidRPr="00055AEA">
              <w:rPr>
                <w:i/>
              </w:rPr>
              <w:t>проектом предусмотрены элементы благоустройства:</w:t>
            </w:r>
          </w:p>
          <w:p w:rsidR="009B0AFD" w:rsidRPr="00055AEA" w:rsidRDefault="00435AF7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 </w:t>
            </w:r>
            <w:r w:rsidR="009B0AFD" w:rsidRPr="00055AEA">
              <w:rPr>
                <w:i/>
              </w:rPr>
              <w:t>- малые архитектурные формы,</w:t>
            </w:r>
          </w:p>
          <w:p w:rsidR="009B0AFD" w:rsidRPr="00055AEA" w:rsidRDefault="009B0AFD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 - площад</w:t>
            </w:r>
            <w:r w:rsidR="00667FD8">
              <w:rPr>
                <w:i/>
              </w:rPr>
              <w:t>к</w:t>
            </w:r>
            <w:r w:rsidR="008D2230">
              <w:rPr>
                <w:i/>
              </w:rPr>
              <w:t>и</w:t>
            </w:r>
            <w:r w:rsidRPr="00055AEA">
              <w:rPr>
                <w:i/>
              </w:rPr>
              <w:t xml:space="preserve"> для отдыха взрослых,</w:t>
            </w:r>
          </w:p>
          <w:p w:rsidR="009B0AFD" w:rsidRPr="00055AEA" w:rsidRDefault="009B0AFD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 - детские игровые комплексы,</w:t>
            </w:r>
          </w:p>
          <w:p w:rsidR="00B1164A" w:rsidRPr="00055AEA" w:rsidRDefault="00435AF7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 - тротуары из плитки;</w:t>
            </w:r>
          </w:p>
          <w:p w:rsidR="00435AF7" w:rsidRPr="00055AEA" w:rsidRDefault="00435AF7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- внутриквартальный проезд из асфальтобетона;</w:t>
            </w:r>
          </w:p>
          <w:p w:rsidR="00435AF7" w:rsidRPr="00055AEA" w:rsidRDefault="00435AF7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- </w:t>
            </w:r>
            <w:proofErr w:type="spellStart"/>
            <w:r w:rsidRPr="00055AEA">
              <w:rPr>
                <w:i/>
              </w:rPr>
              <w:t>внутридворовый</w:t>
            </w:r>
            <w:proofErr w:type="spellEnd"/>
            <w:r w:rsidRPr="00055AEA">
              <w:rPr>
                <w:i/>
              </w:rPr>
              <w:t xml:space="preserve"> проезд из асфальтобетона;</w:t>
            </w:r>
          </w:p>
          <w:p w:rsidR="00435AF7" w:rsidRPr="00055AEA" w:rsidRDefault="00435AF7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- гостевые временные парковки;</w:t>
            </w:r>
          </w:p>
          <w:p w:rsidR="00435AF7" w:rsidRPr="00055AEA" w:rsidRDefault="00435AF7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- огороженная территория;</w:t>
            </w:r>
          </w:p>
          <w:p w:rsidR="00435AF7" w:rsidRPr="00055AEA" w:rsidRDefault="00435AF7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- максимальное озеленение свободных от застройки и покрытий участков, путем устройства газонов, посадки кустарника и деревьев</w:t>
            </w:r>
          </w:p>
          <w:p w:rsidR="009B0AFD" w:rsidRDefault="009B0AFD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 - хозяй</w:t>
            </w:r>
            <w:r w:rsidR="002F4D95">
              <w:rPr>
                <w:i/>
              </w:rPr>
              <w:t xml:space="preserve">ственные: для </w:t>
            </w:r>
            <w:proofErr w:type="spellStart"/>
            <w:r w:rsidR="002F4D95">
              <w:rPr>
                <w:i/>
              </w:rPr>
              <w:t>мусороконтейнеров</w:t>
            </w:r>
            <w:proofErr w:type="spellEnd"/>
          </w:p>
          <w:p w:rsidR="00424761" w:rsidRPr="00055AEA" w:rsidRDefault="00424761" w:rsidP="00055AEA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- дополнительно в непосредственной близости от участка предусмотрено размещение надземной многоуровневой </w:t>
            </w:r>
            <w:proofErr w:type="spellStart"/>
            <w:r>
              <w:rPr>
                <w:i/>
              </w:rPr>
              <w:t>автопарковки</w:t>
            </w:r>
            <w:proofErr w:type="spellEnd"/>
          </w:p>
          <w:p w:rsidR="009B0AFD" w:rsidRPr="00055AEA" w:rsidRDefault="009B0AFD" w:rsidP="00C01994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 Все площадки имеют соответствующие покрытия и оборудование. Для пешеходной связи разбита сеть освещенных тротуаров. Покрытие проездов</w:t>
            </w:r>
            <w:r w:rsidR="00BF7156">
              <w:rPr>
                <w:i/>
              </w:rPr>
              <w:t xml:space="preserve"> -</w:t>
            </w:r>
            <w:r w:rsidRPr="00055AEA">
              <w:rPr>
                <w:i/>
              </w:rPr>
              <w:t xml:space="preserve"> </w:t>
            </w:r>
            <w:r w:rsidR="00B1164A" w:rsidRPr="00055AEA">
              <w:rPr>
                <w:i/>
              </w:rPr>
              <w:t xml:space="preserve">асфальтобетонное, пешеходных дорожек </w:t>
            </w:r>
            <w:r w:rsidR="005C4B41" w:rsidRPr="00055AEA">
              <w:rPr>
                <w:i/>
              </w:rPr>
              <w:t xml:space="preserve">– тротуарная плитка. При входных группах в жилую часть предусмотрено устройство пандусов для </w:t>
            </w:r>
            <w:proofErr w:type="spellStart"/>
            <w:r w:rsidR="005C4B41" w:rsidRPr="00055AEA">
              <w:rPr>
                <w:i/>
              </w:rPr>
              <w:t>маломобильных</w:t>
            </w:r>
            <w:proofErr w:type="spellEnd"/>
            <w:r w:rsidR="005C4B41" w:rsidRPr="00055AEA">
              <w:rPr>
                <w:i/>
              </w:rPr>
              <w:t xml:space="preserve"> групп населения</w:t>
            </w:r>
          </w:p>
        </w:tc>
      </w:tr>
      <w:tr w:rsidR="00D91CBC" w:rsidTr="00055AEA">
        <w:trPr>
          <w:trHeight w:val="682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D91CBC" w:rsidRPr="00055AEA" w:rsidRDefault="00D91CBC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Местоположение многоквартирного дома, его описание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F4B3E" w:rsidRPr="00055AEA" w:rsidRDefault="00130C54" w:rsidP="00055AEA">
            <w:pPr>
              <w:spacing w:after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3524250" cy="4062713"/>
                  <wp:effectExtent l="19050" t="0" r="0" b="0"/>
                  <wp:docPr id="2" name="Рисунок 1" descr="D:\Обмен\ДДУ\Сельмаш\Проектная декларация\Ген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мен\ДДУ\Сельмаш\Проектная декларация\Ген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920" cy="4072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761" w:rsidRPr="0054587C" w:rsidRDefault="00D91CBC" w:rsidP="00424761">
            <w:pPr>
              <w:spacing w:after="0" w:line="240" w:lineRule="auto"/>
              <w:jc w:val="both"/>
              <w:rPr>
                <w:rFonts w:asciiTheme="minorHAnsi" w:hAnsiTheme="minorHAnsi" w:cs="Tahoma"/>
                <w:b/>
                <w:bCs/>
              </w:rPr>
            </w:pPr>
            <w:r w:rsidRPr="00055AEA">
              <w:rPr>
                <w:bCs/>
                <w:i/>
              </w:rPr>
              <w:t xml:space="preserve">Строительный адрес: </w:t>
            </w:r>
            <w:r w:rsidR="00424761" w:rsidRPr="0054587C">
              <w:rPr>
                <w:rFonts w:asciiTheme="minorHAnsi" w:hAnsiTheme="minorHAnsi"/>
                <w:b/>
                <w:bCs/>
              </w:rPr>
              <w:t>Рязанская область, г</w:t>
            </w:r>
            <w:proofErr w:type="gramStart"/>
            <w:r w:rsidR="00424761" w:rsidRPr="0054587C">
              <w:rPr>
                <w:rFonts w:asciiTheme="minorHAnsi" w:hAnsiTheme="minorHAnsi"/>
                <w:b/>
                <w:bCs/>
              </w:rPr>
              <w:t>.Р</w:t>
            </w:r>
            <w:proofErr w:type="gramEnd"/>
            <w:r w:rsidR="00424761" w:rsidRPr="0054587C">
              <w:rPr>
                <w:rFonts w:asciiTheme="minorHAnsi" w:hAnsiTheme="minorHAnsi"/>
                <w:b/>
                <w:bCs/>
              </w:rPr>
              <w:t xml:space="preserve">язань, </w:t>
            </w:r>
            <w:r w:rsidR="00424761" w:rsidRPr="0054587C">
              <w:rPr>
                <w:rFonts w:asciiTheme="minorHAnsi" w:hAnsiTheme="minorHAnsi" w:cs="Tahoma"/>
                <w:b/>
                <w:color w:val="000000"/>
              </w:rPr>
              <w:t>улица Чапаева, 57, 57 стр.1,</w:t>
            </w:r>
            <w:r w:rsidR="00130C54"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 w:rsidR="00424761" w:rsidRPr="0054587C">
              <w:rPr>
                <w:rFonts w:asciiTheme="minorHAnsi" w:hAnsiTheme="minorHAnsi" w:cs="Tahoma"/>
                <w:b/>
                <w:color w:val="000000"/>
              </w:rPr>
              <w:t>57б</w:t>
            </w:r>
            <w:r w:rsidR="00130C54">
              <w:rPr>
                <w:rFonts w:asciiTheme="minorHAnsi" w:hAnsiTheme="minorHAnsi" w:cs="Tahoma"/>
                <w:b/>
                <w:color w:val="000000"/>
              </w:rPr>
              <w:t xml:space="preserve"> </w:t>
            </w:r>
            <w:r w:rsidR="00130C54" w:rsidRPr="004E5A28">
              <w:rPr>
                <w:b/>
                <w:i/>
              </w:rPr>
              <w:t>участок 1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lastRenderedPageBreak/>
              <w:t xml:space="preserve">Участок строительства </w:t>
            </w:r>
            <w:r w:rsidR="00424761" w:rsidRPr="0054587C">
              <w:rPr>
                <w:rFonts w:asciiTheme="minorHAnsi" w:hAnsiTheme="minorHAnsi" w:cs="Tahoma"/>
                <w:i/>
                <w:color w:val="000000"/>
              </w:rPr>
              <w:t>жилого дома с нежилыми помещениями</w:t>
            </w:r>
            <w:r w:rsidRPr="00055AEA">
              <w:rPr>
                <w:i/>
              </w:rPr>
              <w:t xml:space="preserve"> (далее – </w:t>
            </w:r>
            <w:r w:rsidRPr="00055AEA">
              <w:rPr>
                <w:b/>
                <w:i/>
              </w:rPr>
              <w:t>«Жилой дом»</w:t>
            </w:r>
            <w:r w:rsidRPr="00055AEA">
              <w:rPr>
                <w:i/>
              </w:rPr>
              <w:t xml:space="preserve">) расположен в </w:t>
            </w:r>
            <w:r w:rsidR="00424761">
              <w:rPr>
                <w:i/>
              </w:rPr>
              <w:t xml:space="preserve">Советском </w:t>
            </w:r>
            <w:r w:rsidRPr="00055AEA">
              <w:rPr>
                <w:i/>
              </w:rPr>
              <w:t>районе города Рязани и граничит:</w:t>
            </w:r>
          </w:p>
          <w:p w:rsidR="00D91CBC" w:rsidRPr="00055AEA" w:rsidRDefault="00424761" w:rsidP="00055AEA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- с севера-востока</w:t>
            </w:r>
            <w:r w:rsidR="00D91CBC" w:rsidRPr="00055AEA">
              <w:rPr>
                <w:i/>
              </w:rPr>
              <w:t xml:space="preserve">– </w:t>
            </w:r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.Ч</w:t>
            </w:r>
            <w:proofErr w:type="gramEnd"/>
            <w:r>
              <w:rPr>
                <w:i/>
              </w:rPr>
              <w:t>апаева</w:t>
            </w:r>
            <w:r w:rsidR="00D91CBC" w:rsidRPr="00055AEA">
              <w:rPr>
                <w:i/>
              </w:rPr>
              <w:t>;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- с </w:t>
            </w:r>
            <w:proofErr w:type="gramStart"/>
            <w:r w:rsidR="00424761">
              <w:rPr>
                <w:i/>
              </w:rPr>
              <w:t>юго-востока</w:t>
            </w:r>
            <w:r w:rsidRPr="00055AEA">
              <w:rPr>
                <w:i/>
              </w:rPr>
              <w:t>–</w:t>
            </w:r>
            <w:r w:rsidR="00424761">
              <w:rPr>
                <w:i/>
              </w:rPr>
              <w:t>железная</w:t>
            </w:r>
            <w:proofErr w:type="gramEnd"/>
            <w:r w:rsidR="00424761">
              <w:rPr>
                <w:i/>
              </w:rPr>
              <w:t xml:space="preserve"> дорога</w:t>
            </w:r>
            <w:r w:rsidRPr="00055AEA">
              <w:rPr>
                <w:i/>
              </w:rPr>
              <w:t>;</w:t>
            </w:r>
          </w:p>
          <w:p w:rsidR="00424761" w:rsidRDefault="00BF7156" w:rsidP="00055AEA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D8719B">
              <w:rPr>
                <w:i/>
              </w:rPr>
              <w:t xml:space="preserve">с </w:t>
            </w:r>
            <w:r w:rsidR="00424761">
              <w:rPr>
                <w:i/>
              </w:rPr>
              <w:t>северо-запада</w:t>
            </w:r>
            <w:r w:rsidR="00D91CBC" w:rsidRPr="00055AEA">
              <w:rPr>
                <w:i/>
              </w:rPr>
              <w:t>–</w:t>
            </w:r>
            <w:r w:rsidR="00424761">
              <w:rPr>
                <w:i/>
              </w:rPr>
              <w:t>2 очередь застройки</w:t>
            </w:r>
          </w:p>
          <w:p w:rsidR="00D91CBC" w:rsidRDefault="00D91CB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Жилой дом  </w:t>
            </w:r>
            <w:r w:rsidR="00424761">
              <w:rPr>
                <w:i/>
              </w:rPr>
              <w:t>П-образный в плане размерами 83,4 х96,5 м, высотой 39,3 м</w:t>
            </w:r>
            <w:proofErr w:type="gramStart"/>
            <w:r w:rsidR="00424761">
              <w:rPr>
                <w:i/>
              </w:rPr>
              <w:t xml:space="preserve">.,. </w:t>
            </w:r>
            <w:proofErr w:type="gramEnd"/>
            <w:r w:rsidR="00424761">
              <w:rPr>
                <w:i/>
              </w:rPr>
              <w:t xml:space="preserve">Состоит из 7 рядовых и угловых секций, имеющих </w:t>
            </w:r>
            <w:r w:rsidR="00BA498E">
              <w:rPr>
                <w:i/>
              </w:rPr>
              <w:t>10</w:t>
            </w:r>
            <w:r w:rsidR="00424761">
              <w:rPr>
                <w:i/>
              </w:rPr>
              <w:t xml:space="preserve"> и 1</w:t>
            </w:r>
            <w:r w:rsidR="00BA498E">
              <w:rPr>
                <w:i/>
              </w:rPr>
              <w:t>4</w:t>
            </w:r>
            <w:r w:rsidR="00424761">
              <w:rPr>
                <w:i/>
              </w:rPr>
              <w:t xml:space="preserve"> этаж</w:t>
            </w:r>
            <w:r w:rsidR="002834C0">
              <w:rPr>
                <w:i/>
              </w:rPr>
              <w:t>ей</w:t>
            </w:r>
            <w:r w:rsidRPr="00055AEA">
              <w:rPr>
                <w:i/>
              </w:rPr>
              <w:t>, нежилым помещени</w:t>
            </w:r>
            <w:r w:rsidR="00D8719B">
              <w:rPr>
                <w:i/>
              </w:rPr>
              <w:t>ем</w:t>
            </w:r>
            <w:r w:rsidRPr="00055AEA">
              <w:rPr>
                <w:i/>
              </w:rPr>
              <w:t xml:space="preserve"> на 1-м</w:t>
            </w:r>
            <w:r w:rsidR="002834C0">
              <w:rPr>
                <w:i/>
              </w:rPr>
              <w:t xml:space="preserve"> и 2-ом этажах некоторых секций.</w:t>
            </w:r>
          </w:p>
          <w:p w:rsidR="00B11391" w:rsidRDefault="00B11391" w:rsidP="00055AEA">
            <w:pPr>
              <w:spacing w:after="0"/>
              <w:jc w:val="both"/>
              <w:rPr>
                <w:i/>
              </w:rPr>
            </w:pPr>
            <w:r w:rsidRPr="00B11391">
              <w:rPr>
                <w:b/>
                <w:i/>
              </w:rPr>
              <w:t>Конструктивная схема</w:t>
            </w:r>
            <w:r>
              <w:rPr>
                <w:i/>
              </w:rPr>
              <w:t xml:space="preserve"> – стеновая с поперечными и продольными несущими стенами и </w:t>
            </w:r>
            <w:r w:rsidR="000F2F36">
              <w:rPr>
                <w:i/>
              </w:rPr>
              <w:t>пилонами</w:t>
            </w:r>
          </w:p>
          <w:p w:rsidR="00D8719B" w:rsidRDefault="00D8719B" w:rsidP="00055AEA">
            <w:pPr>
              <w:spacing w:after="0"/>
              <w:jc w:val="both"/>
              <w:rPr>
                <w:i/>
              </w:rPr>
            </w:pPr>
            <w:r w:rsidRPr="00B11391">
              <w:rPr>
                <w:b/>
                <w:i/>
              </w:rPr>
              <w:t xml:space="preserve">Высота </w:t>
            </w:r>
            <w:r w:rsidR="002834C0" w:rsidRPr="00B11391">
              <w:rPr>
                <w:b/>
                <w:i/>
              </w:rPr>
              <w:t>цокольного</w:t>
            </w:r>
            <w:r w:rsidR="002834C0">
              <w:rPr>
                <w:i/>
              </w:rPr>
              <w:t xml:space="preserve"> этажа</w:t>
            </w:r>
            <w:r>
              <w:rPr>
                <w:i/>
              </w:rPr>
              <w:t xml:space="preserve"> – 2</w:t>
            </w:r>
            <w:r w:rsidR="002834C0">
              <w:rPr>
                <w:i/>
              </w:rPr>
              <w:t>,7</w:t>
            </w:r>
            <w:r>
              <w:rPr>
                <w:i/>
              </w:rPr>
              <w:t xml:space="preserve"> м</w:t>
            </w:r>
            <w:r w:rsidR="002834C0">
              <w:rPr>
                <w:i/>
              </w:rPr>
              <w:t xml:space="preserve"> (до потолка), 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B11391">
              <w:rPr>
                <w:b/>
                <w:i/>
              </w:rPr>
              <w:t>Этажи всех секций</w:t>
            </w:r>
            <w:r w:rsidRPr="00055AEA">
              <w:rPr>
                <w:i/>
              </w:rPr>
              <w:t xml:space="preserve"> с </w:t>
            </w:r>
            <w:r w:rsidR="00D8719B">
              <w:rPr>
                <w:i/>
              </w:rPr>
              <w:t>1</w:t>
            </w:r>
            <w:r w:rsidRPr="00055AEA">
              <w:rPr>
                <w:i/>
              </w:rPr>
              <w:t xml:space="preserve">-го по </w:t>
            </w:r>
            <w:r w:rsidR="002834C0">
              <w:rPr>
                <w:i/>
              </w:rPr>
              <w:t xml:space="preserve">14-й – 2,88 м </w:t>
            </w:r>
            <w:proofErr w:type="gramStart"/>
            <w:r w:rsidR="002834C0">
              <w:rPr>
                <w:i/>
              </w:rPr>
              <w:t xml:space="preserve">( </w:t>
            </w:r>
            <w:proofErr w:type="gramEnd"/>
            <w:r w:rsidR="002834C0">
              <w:rPr>
                <w:i/>
              </w:rPr>
              <w:t>от пола до потолка)</w:t>
            </w:r>
          </w:p>
          <w:p w:rsidR="00D91CBC" w:rsidRDefault="00D91CBC" w:rsidP="00055AEA">
            <w:pPr>
              <w:spacing w:after="0"/>
              <w:jc w:val="both"/>
              <w:rPr>
                <w:i/>
              </w:rPr>
            </w:pPr>
            <w:r w:rsidRPr="00B11391">
              <w:rPr>
                <w:b/>
                <w:i/>
              </w:rPr>
              <w:t>Высота технического этажа</w:t>
            </w:r>
            <w:r w:rsidRPr="00055AEA">
              <w:rPr>
                <w:i/>
              </w:rPr>
              <w:t xml:space="preserve"> – 1,</w:t>
            </w:r>
            <w:r w:rsidR="002834C0">
              <w:rPr>
                <w:i/>
              </w:rPr>
              <w:t>79</w:t>
            </w:r>
            <w:r w:rsidRPr="00055AEA">
              <w:rPr>
                <w:i/>
              </w:rPr>
              <w:t xml:space="preserve"> м (от пола до потолка)</w:t>
            </w:r>
          </w:p>
          <w:p w:rsidR="00A947FE" w:rsidRPr="00055AEA" w:rsidRDefault="00A947FE" w:rsidP="00055AEA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Ограждающие наружные стены – несущие, из керамического </w:t>
            </w:r>
            <w:proofErr w:type="spellStart"/>
            <w:r>
              <w:rPr>
                <w:i/>
              </w:rPr>
              <w:t>поризованного</w:t>
            </w:r>
            <w:proofErr w:type="spellEnd"/>
            <w:r>
              <w:rPr>
                <w:i/>
              </w:rPr>
              <w:t xml:space="preserve"> камня толщиной 250 мм с утеплением минеральной ватой на основе базальта на синтетическом связующем толщиной 120 мм с наружной тонкослойной штукатуркой фасада и внутренним оштукатуриванием стен цементно-песчаным раствором.</w:t>
            </w:r>
          </w:p>
          <w:p w:rsidR="00D91CBC" w:rsidRDefault="00A947FE" w:rsidP="00055AEA">
            <w:pPr>
              <w:spacing w:after="0"/>
              <w:jc w:val="both"/>
              <w:rPr>
                <w:i/>
              </w:rPr>
            </w:pPr>
            <w:r>
              <w:rPr>
                <w:b/>
                <w:i/>
              </w:rPr>
              <w:t xml:space="preserve">Наружные стены подземной части – </w:t>
            </w:r>
            <w:r w:rsidRPr="00A947FE">
              <w:rPr>
                <w:i/>
              </w:rPr>
              <w:t>монолитные железобетонные</w:t>
            </w:r>
            <w:r>
              <w:rPr>
                <w:i/>
              </w:rPr>
              <w:t>;</w:t>
            </w:r>
          </w:p>
          <w:p w:rsidR="00A947FE" w:rsidRPr="00A947FE" w:rsidRDefault="00A947FE" w:rsidP="00055AEA">
            <w:pPr>
              <w:spacing w:after="0"/>
              <w:jc w:val="both"/>
              <w:rPr>
                <w:i/>
              </w:rPr>
            </w:pPr>
            <w:r w:rsidRPr="00A947FE">
              <w:rPr>
                <w:b/>
                <w:i/>
              </w:rPr>
              <w:t>Внутренние межква</w:t>
            </w:r>
            <w:r>
              <w:rPr>
                <w:b/>
                <w:i/>
              </w:rPr>
              <w:t xml:space="preserve">ртирные перегородки – </w:t>
            </w:r>
            <w:r w:rsidRPr="00A947FE">
              <w:rPr>
                <w:i/>
              </w:rPr>
              <w:t>из газосиликатных блоков, толщиной 200 мм;</w:t>
            </w:r>
          </w:p>
          <w:p w:rsidR="00A947FE" w:rsidRDefault="00A947FE" w:rsidP="00055AEA">
            <w:pPr>
              <w:spacing w:after="0"/>
              <w:jc w:val="both"/>
              <w:rPr>
                <w:i/>
              </w:rPr>
            </w:pPr>
            <w:r>
              <w:rPr>
                <w:b/>
                <w:i/>
              </w:rPr>
              <w:t xml:space="preserve">Внутренние межкомнатные перегородки – </w:t>
            </w:r>
            <w:r>
              <w:rPr>
                <w:i/>
              </w:rPr>
              <w:t>из г</w:t>
            </w:r>
            <w:r w:rsidR="00B11391">
              <w:rPr>
                <w:i/>
              </w:rPr>
              <w:t>а</w:t>
            </w:r>
            <w:r>
              <w:rPr>
                <w:i/>
              </w:rPr>
              <w:t>зосиликатных блоков 100 мм и керамзитобетонных блоков толщиной</w:t>
            </w:r>
            <w:r w:rsidR="00B11391">
              <w:rPr>
                <w:i/>
              </w:rPr>
              <w:t xml:space="preserve"> 90 мм. </w:t>
            </w:r>
          </w:p>
          <w:p w:rsidR="00B11391" w:rsidRPr="00A947FE" w:rsidRDefault="00B11391" w:rsidP="00055AEA">
            <w:pPr>
              <w:spacing w:after="0"/>
              <w:jc w:val="both"/>
              <w:rPr>
                <w:i/>
              </w:rPr>
            </w:pPr>
            <w:r w:rsidRPr="00B11391">
              <w:rPr>
                <w:b/>
                <w:i/>
              </w:rPr>
              <w:t>Перегородки нежилых помещений</w:t>
            </w:r>
            <w:r>
              <w:rPr>
                <w:i/>
              </w:rPr>
              <w:t xml:space="preserve"> – силикатный кирпич толщиной 120 мм</w:t>
            </w:r>
          </w:p>
          <w:p w:rsidR="00DD70BD" w:rsidRDefault="00D91CBC" w:rsidP="00B11391">
            <w:pPr>
              <w:spacing w:after="0"/>
              <w:jc w:val="both"/>
              <w:rPr>
                <w:i/>
              </w:rPr>
            </w:pPr>
            <w:r w:rsidRPr="00055AEA">
              <w:rPr>
                <w:b/>
                <w:i/>
              </w:rPr>
              <w:t>Перекрыти</w:t>
            </w:r>
            <w:proofErr w:type="gramStart"/>
            <w:r w:rsidRPr="00055AEA">
              <w:rPr>
                <w:b/>
                <w:i/>
              </w:rPr>
              <w:t>я</w:t>
            </w:r>
            <w:r w:rsidR="00B11391">
              <w:rPr>
                <w:b/>
                <w:i/>
              </w:rPr>
              <w:t>-</w:t>
            </w:r>
            <w:proofErr w:type="gramEnd"/>
            <w:r w:rsidR="00B11391">
              <w:rPr>
                <w:b/>
                <w:i/>
              </w:rPr>
              <w:t xml:space="preserve">  </w:t>
            </w:r>
            <w:r w:rsidR="00B11391" w:rsidRPr="00B11391">
              <w:rPr>
                <w:i/>
              </w:rPr>
              <w:t>монолитные толщиной 180 мм</w:t>
            </w:r>
          </w:p>
          <w:p w:rsidR="00B11391" w:rsidRDefault="00B11391" w:rsidP="00B11391">
            <w:pPr>
              <w:spacing w:after="0"/>
              <w:jc w:val="both"/>
              <w:rPr>
                <w:i/>
              </w:rPr>
            </w:pPr>
            <w:r w:rsidRPr="00B11391">
              <w:rPr>
                <w:b/>
                <w:i/>
              </w:rPr>
              <w:t>Фундаменты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плитные</w:t>
            </w:r>
            <w:proofErr w:type="spellEnd"/>
            <w:r>
              <w:rPr>
                <w:i/>
              </w:rPr>
              <w:t xml:space="preserve"> толщиной 800 мм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1C39FF">
              <w:rPr>
                <w:b/>
                <w:i/>
              </w:rPr>
              <w:t xml:space="preserve">Оконные проемы </w:t>
            </w:r>
            <w:r w:rsidRPr="001C39FF">
              <w:rPr>
                <w:i/>
              </w:rPr>
              <w:t xml:space="preserve">остекляются </w:t>
            </w:r>
            <w:proofErr w:type="spellStart"/>
            <w:r w:rsidRPr="001C39FF">
              <w:rPr>
                <w:i/>
              </w:rPr>
              <w:t>ПВХ-профилем</w:t>
            </w:r>
            <w:proofErr w:type="spellEnd"/>
            <w:r w:rsidR="00B11391">
              <w:rPr>
                <w:i/>
              </w:rPr>
              <w:t xml:space="preserve"> с двухкамерным стеклоп</w:t>
            </w:r>
            <w:r w:rsidR="00F12ED2">
              <w:rPr>
                <w:i/>
              </w:rPr>
              <w:t>а</w:t>
            </w:r>
            <w:r w:rsidR="00B11391">
              <w:rPr>
                <w:i/>
              </w:rPr>
              <w:t>кетом.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>На все этажи секций предусмотрен подъем при помощи лифта</w:t>
            </w:r>
            <w:r w:rsidR="00BF7156">
              <w:rPr>
                <w:i/>
              </w:rPr>
              <w:t>. Лифт опускается на 1-ый этаж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i/>
              </w:rPr>
              <w:t xml:space="preserve">Все квартиры имеют необходимый набор жилых и вспомогательных помещений. 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b/>
                <w:i/>
              </w:rPr>
              <w:t>Водоснабжение</w:t>
            </w:r>
            <w:r w:rsidRPr="00055AEA">
              <w:rPr>
                <w:i/>
              </w:rPr>
              <w:t xml:space="preserve"> – осуществляется </w:t>
            </w:r>
            <w:r w:rsidR="00F12ED2">
              <w:rPr>
                <w:i/>
              </w:rPr>
              <w:t>от существующего водопровода проходящего по ул</w:t>
            </w:r>
            <w:proofErr w:type="gramStart"/>
            <w:r w:rsidR="00F12ED2">
              <w:rPr>
                <w:i/>
              </w:rPr>
              <w:t>.Ч</w:t>
            </w:r>
            <w:proofErr w:type="gramEnd"/>
            <w:r w:rsidR="00F12ED2">
              <w:rPr>
                <w:i/>
              </w:rPr>
              <w:t>апаева</w:t>
            </w:r>
            <w:r w:rsidRPr="00055AEA">
              <w:rPr>
                <w:i/>
              </w:rPr>
              <w:t>. На ответвлениях в каждую квартиру монтиру</w:t>
            </w:r>
            <w:r w:rsidR="00BF7156">
              <w:rPr>
                <w:i/>
              </w:rPr>
              <w:t>ются счетчики холодной воды</w:t>
            </w:r>
            <w:r w:rsidRPr="00055AEA">
              <w:rPr>
                <w:i/>
              </w:rPr>
              <w:t xml:space="preserve"> </w:t>
            </w:r>
          </w:p>
          <w:p w:rsidR="00D91CBC" w:rsidRPr="00055AEA" w:rsidRDefault="00D91CBC" w:rsidP="00055AEA">
            <w:pPr>
              <w:spacing w:after="0"/>
              <w:jc w:val="both"/>
              <w:rPr>
                <w:i/>
              </w:rPr>
            </w:pPr>
            <w:r w:rsidRPr="00055AEA">
              <w:rPr>
                <w:b/>
                <w:i/>
              </w:rPr>
              <w:t>Водоотведение</w:t>
            </w:r>
            <w:r w:rsidRPr="00055AEA">
              <w:rPr>
                <w:i/>
              </w:rPr>
              <w:t xml:space="preserve"> - осуществляется в</w:t>
            </w:r>
            <w:r w:rsidR="00DD70BD">
              <w:rPr>
                <w:i/>
              </w:rPr>
              <w:t xml:space="preserve"> проектируемые внутриплощадочные</w:t>
            </w:r>
            <w:r w:rsidR="00F12ED2">
              <w:rPr>
                <w:i/>
              </w:rPr>
              <w:t xml:space="preserve"> сети бытовой и дождевой канализации с подключением в существующие городские сети </w:t>
            </w:r>
            <w:r w:rsidR="00DD70BD">
              <w:rPr>
                <w:i/>
              </w:rPr>
              <w:t xml:space="preserve"> </w:t>
            </w:r>
          </w:p>
          <w:p w:rsidR="00D91CBC" w:rsidRDefault="00D91CBC" w:rsidP="003E393C">
            <w:pPr>
              <w:spacing w:after="0"/>
              <w:jc w:val="both"/>
              <w:rPr>
                <w:i/>
              </w:rPr>
            </w:pPr>
            <w:r w:rsidRPr="00055AEA">
              <w:rPr>
                <w:b/>
                <w:i/>
              </w:rPr>
              <w:t>Отопление и горячее водоснабжение</w:t>
            </w:r>
            <w:r w:rsidRPr="00055AEA">
              <w:rPr>
                <w:i/>
              </w:rPr>
              <w:t xml:space="preserve"> - осуществляется от настенных газовых котлов. Система отопления </w:t>
            </w:r>
            <w:r w:rsidR="003E393C">
              <w:rPr>
                <w:i/>
              </w:rPr>
              <w:t xml:space="preserve">из </w:t>
            </w:r>
            <w:proofErr w:type="spellStart"/>
            <w:r w:rsidR="003E393C">
              <w:rPr>
                <w:i/>
              </w:rPr>
              <w:t>металлополимерных</w:t>
            </w:r>
            <w:proofErr w:type="spellEnd"/>
            <w:r w:rsidR="003E393C">
              <w:rPr>
                <w:i/>
              </w:rPr>
              <w:t xml:space="preserve"> труб </w:t>
            </w:r>
            <w:proofErr w:type="gramStart"/>
            <w:r w:rsidR="003E393C">
              <w:rPr>
                <w:i/>
              </w:rPr>
              <w:t xml:space="preserve">( </w:t>
            </w:r>
            <w:proofErr w:type="gramEnd"/>
            <w:r w:rsidR="003E393C">
              <w:rPr>
                <w:i/>
              </w:rPr>
              <w:t>в конструкции пола в гофре), нагревательные приборы – стальные панельные радиаторы отечественного производства.</w:t>
            </w:r>
          </w:p>
          <w:p w:rsidR="003E393C" w:rsidRPr="00055AEA" w:rsidRDefault="003E393C" w:rsidP="003E393C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Электроснабжение квартир – от этажных щитков распределения электроэнергии, устанавливаемые в поэтажных коридорах.</w:t>
            </w:r>
          </w:p>
        </w:tc>
      </w:tr>
      <w:tr w:rsidR="003A3BF3" w:rsidTr="0057502E">
        <w:trPr>
          <w:trHeight w:val="2242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A3BF3" w:rsidRPr="00055AEA" w:rsidRDefault="003A3BF3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lastRenderedPageBreak/>
              <w:t>Количество в составе многоквартирного дома самостоятельных частей</w:t>
            </w:r>
          </w:p>
        </w:tc>
        <w:tc>
          <w:tcPr>
            <w:tcW w:w="6363" w:type="dxa"/>
            <w:shd w:val="clear" w:color="auto" w:fill="D2EAF1"/>
          </w:tcPr>
          <w:p w:rsidR="003A3BF3" w:rsidRPr="00055AEA" w:rsidRDefault="003E393C" w:rsidP="00055AE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Ж</w:t>
            </w:r>
            <w:r w:rsidR="003A3BF3" w:rsidRPr="00055AEA">
              <w:rPr>
                <w:bCs/>
                <w:i/>
              </w:rPr>
              <w:t>илой дом с нежилыми помещениями включает в себя:</w:t>
            </w:r>
          </w:p>
          <w:p w:rsidR="003A3BF3" w:rsidRPr="00055AEA" w:rsidRDefault="0010482D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/>
                <w:bCs/>
                <w:i/>
              </w:rPr>
              <w:t>Квартир</w:t>
            </w:r>
            <w:r w:rsidR="003E393C">
              <w:rPr>
                <w:bCs/>
                <w:i/>
              </w:rPr>
              <w:t xml:space="preserve"> – 51</w:t>
            </w:r>
            <w:r w:rsidR="001C39FF">
              <w:rPr>
                <w:bCs/>
                <w:i/>
              </w:rPr>
              <w:t>6</w:t>
            </w:r>
            <w:r w:rsidRPr="00055AEA">
              <w:rPr>
                <w:bCs/>
                <w:i/>
              </w:rPr>
              <w:t xml:space="preserve">, общей проектной площадью – </w:t>
            </w:r>
            <w:r w:rsidR="003E393C">
              <w:rPr>
                <w:bCs/>
                <w:i/>
              </w:rPr>
              <w:t>25 715,0</w:t>
            </w:r>
            <w:r w:rsidRPr="00055AEA">
              <w:rPr>
                <w:bCs/>
                <w:i/>
              </w:rPr>
              <w:t xml:space="preserve"> кв</w:t>
            </w:r>
            <w:proofErr w:type="gramStart"/>
            <w:r w:rsidRPr="00055AEA">
              <w:rPr>
                <w:bCs/>
                <w:i/>
              </w:rPr>
              <w:t>.м</w:t>
            </w:r>
            <w:proofErr w:type="gramEnd"/>
            <w:r w:rsidRPr="00055AEA">
              <w:rPr>
                <w:bCs/>
                <w:i/>
              </w:rPr>
              <w:t>, из них:</w:t>
            </w:r>
          </w:p>
          <w:p w:rsidR="0010482D" w:rsidRPr="00055AEA" w:rsidRDefault="0010482D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 xml:space="preserve">        - однокомнатных – </w:t>
            </w:r>
            <w:r w:rsidR="003E393C">
              <w:rPr>
                <w:bCs/>
                <w:i/>
              </w:rPr>
              <w:t>271</w:t>
            </w:r>
            <w:r w:rsidRPr="00055AEA">
              <w:rPr>
                <w:bCs/>
                <w:i/>
              </w:rPr>
              <w:t xml:space="preserve"> квартир;</w:t>
            </w:r>
          </w:p>
          <w:p w:rsidR="0010482D" w:rsidRPr="00055AEA" w:rsidRDefault="003E393C" w:rsidP="00055AE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- двухкомнатных –  133</w:t>
            </w:r>
            <w:r w:rsidR="0010482D" w:rsidRPr="00055AEA">
              <w:rPr>
                <w:bCs/>
                <w:i/>
              </w:rPr>
              <w:t xml:space="preserve"> квартир;</w:t>
            </w:r>
          </w:p>
          <w:p w:rsidR="0010482D" w:rsidRPr="00055AEA" w:rsidRDefault="003E393C" w:rsidP="00055AE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       - трехкомнатных – 112</w:t>
            </w:r>
            <w:r w:rsidR="0010482D" w:rsidRPr="00055AEA">
              <w:rPr>
                <w:bCs/>
                <w:i/>
              </w:rPr>
              <w:t xml:space="preserve"> квартир;</w:t>
            </w:r>
          </w:p>
          <w:p w:rsidR="00896246" w:rsidRPr="00166E44" w:rsidRDefault="0010482D" w:rsidP="00BA498E">
            <w:pPr>
              <w:spacing w:after="0"/>
              <w:jc w:val="both"/>
              <w:rPr>
                <w:b/>
                <w:bCs/>
              </w:rPr>
            </w:pPr>
            <w:r w:rsidRPr="00055AEA">
              <w:rPr>
                <w:bCs/>
                <w:i/>
              </w:rPr>
              <w:t xml:space="preserve">       </w:t>
            </w:r>
            <w:r w:rsidR="00166E44">
              <w:rPr>
                <w:bCs/>
                <w:i/>
              </w:rPr>
              <w:t xml:space="preserve">Общая проектная площадь </w:t>
            </w:r>
            <w:r w:rsidR="00896246">
              <w:rPr>
                <w:bCs/>
                <w:i/>
              </w:rPr>
              <w:t xml:space="preserve"> нежилых помещений</w:t>
            </w:r>
            <w:r w:rsidR="00166E44">
              <w:rPr>
                <w:bCs/>
                <w:i/>
              </w:rPr>
              <w:t xml:space="preserve"> жилого дома </w:t>
            </w:r>
            <w:r w:rsidR="00166E44" w:rsidRPr="00166E44">
              <w:rPr>
                <w:bCs/>
                <w:i/>
              </w:rPr>
              <w:t>-</w:t>
            </w:r>
            <w:r w:rsidR="00166E44">
              <w:rPr>
                <w:bCs/>
                <w:i/>
              </w:rPr>
              <w:t xml:space="preserve">    </w:t>
            </w:r>
            <w:r w:rsidR="003E393C">
              <w:rPr>
                <w:bCs/>
                <w:i/>
              </w:rPr>
              <w:t xml:space="preserve">2 789 </w:t>
            </w:r>
            <w:r w:rsidR="00166E44">
              <w:rPr>
                <w:bCs/>
                <w:i/>
              </w:rPr>
              <w:t xml:space="preserve"> кв.м.</w:t>
            </w:r>
            <w:r w:rsidR="000C469A" w:rsidRPr="00055AEA">
              <w:rPr>
                <w:bCs/>
                <w:i/>
              </w:rPr>
              <w:t xml:space="preserve"> Строительство нежилых помещений осуществляется Застройщиком за счет собственных средств</w:t>
            </w:r>
          </w:p>
        </w:tc>
      </w:tr>
      <w:tr w:rsidR="009D208E" w:rsidTr="00DD446C">
        <w:trPr>
          <w:trHeight w:val="2208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D208E" w:rsidRPr="00055AEA" w:rsidRDefault="009D208E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E393C" w:rsidRPr="001C39FF" w:rsidRDefault="001C39FF" w:rsidP="003E393C">
            <w:pPr>
              <w:spacing w:after="0"/>
              <w:jc w:val="both"/>
              <w:rPr>
                <w:bCs/>
                <w:i/>
              </w:rPr>
            </w:pPr>
            <w:r w:rsidRPr="001C39FF">
              <w:rPr>
                <w:b/>
                <w:bCs/>
                <w:i/>
              </w:rPr>
              <w:t xml:space="preserve">Нежилые помещения в </w:t>
            </w:r>
            <w:r w:rsidR="003E393C">
              <w:rPr>
                <w:b/>
                <w:bCs/>
                <w:i/>
              </w:rPr>
              <w:t xml:space="preserve">цокольном </w:t>
            </w:r>
            <w:r w:rsidRPr="001C39FF">
              <w:rPr>
                <w:b/>
                <w:bCs/>
                <w:i/>
              </w:rPr>
              <w:t xml:space="preserve">этаже </w:t>
            </w:r>
            <w:r w:rsidRPr="001C39FF">
              <w:rPr>
                <w:bCs/>
                <w:i/>
              </w:rPr>
              <w:t xml:space="preserve">– без конкретной технологии (назначения) </w:t>
            </w:r>
            <w:r w:rsidR="003E393C" w:rsidRPr="001C39FF">
              <w:rPr>
                <w:bCs/>
                <w:i/>
              </w:rPr>
              <w:t>с возможностью размещения к</w:t>
            </w:r>
            <w:r w:rsidR="003E393C">
              <w:rPr>
                <w:bCs/>
                <w:i/>
              </w:rPr>
              <w:t>оммерческих и офисных помещений</w:t>
            </w:r>
            <w:r w:rsidR="000F2F36">
              <w:rPr>
                <w:bCs/>
                <w:i/>
              </w:rPr>
              <w:t xml:space="preserve">, а также внеквартирных хозяйственных кладовых </w:t>
            </w:r>
          </w:p>
          <w:p w:rsidR="009D208E" w:rsidRPr="001C39FF" w:rsidRDefault="009D208E" w:rsidP="00055AEA">
            <w:pPr>
              <w:spacing w:after="0"/>
              <w:jc w:val="both"/>
              <w:rPr>
                <w:bCs/>
                <w:i/>
              </w:rPr>
            </w:pPr>
            <w:r w:rsidRPr="001C39FF">
              <w:rPr>
                <w:b/>
                <w:bCs/>
                <w:i/>
              </w:rPr>
              <w:t>Нежилые помещения на первом этаже</w:t>
            </w:r>
            <w:r w:rsidRPr="001C39FF">
              <w:rPr>
                <w:bCs/>
                <w:i/>
              </w:rPr>
              <w:t xml:space="preserve"> – без конкретной технологии (назначения) с возможностью размещения к</w:t>
            </w:r>
            <w:r w:rsidR="001C39FF">
              <w:rPr>
                <w:bCs/>
                <w:i/>
              </w:rPr>
              <w:t>оммерческих и офисных помещений</w:t>
            </w:r>
            <w:r w:rsidR="000F2F36">
              <w:rPr>
                <w:bCs/>
                <w:i/>
              </w:rPr>
              <w:t>, а также внеквартирных хозяйственных кладовых</w:t>
            </w:r>
          </w:p>
          <w:p w:rsidR="001C39FF" w:rsidRPr="001C39FF" w:rsidRDefault="001C39FF" w:rsidP="001C39FF">
            <w:pPr>
              <w:spacing w:after="0"/>
              <w:jc w:val="both"/>
              <w:rPr>
                <w:bCs/>
                <w:i/>
              </w:rPr>
            </w:pPr>
            <w:r w:rsidRPr="001C39FF">
              <w:rPr>
                <w:b/>
                <w:bCs/>
                <w:i/>
              </w:rPr>
              <w:t>Нежилые помещения на этажных площадках</w:t>
            </w:r>
            <w:r w:rsidRPr="001C39FF">
              <w:rPr>
                <w:bCs/>
                <w:i/>
              </w:rPr>
              <w:t xml:space="preserve">  – внеквартирные хозяйственные кладовые</w:t>
            </w:r>
          </w:p>
        </w:tc>
      </w:tr>
      <w:tr w:rsidR="009D208E" w:rsidTr="00055AEA">
        <w:trPr>
          <w:trHeight w:val="1599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9D208E" w:rsidRPr="00055AEA" w:rsidRDefault="009D208E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6363" w:type="dxa"/>
            <w:shd w:val="clear" w:color="auto" w:fill="D2EAF1"/>
          </w:tcPr>
          <w:p w:rsidR="009D208E" w:rsidRPr="00055AEA" w:rsidRDefault="009D208E" w:rsidP="003E393C">
            <w:pPr>
              <w:spacing w:after="0"/>
              <w:jc w:val="both"/>
              <w:rPr>
                <w:bCs/>
                <w:i/>
                <w:highlight w:val="yellow"/>
              </w:rPr>
            </w:pPr>
            <w:proofErr w:type="gramStart"/>
            <w:r w:rsidRPr="00055AEA">
              <w:rPr>
                <w:bCs/>
                <w:i/>
              </w:rPr>
              <w:t xml:space="preserve">В состав общего имущества многоквартирного дома входят: </w:t>
            </w:r>
            <w:r w:rsidR="001B005E">
              <w:rPr>
                <w:bCs/>
                <w:i/>
              </w:rPr>
              <w:t xml:space="preserve">внутридомовые </w:t>
            </w:r>
            <w:r w:rsidRPr="00055AEA">
              <w:rPr>
                <w:bCs/>
                <w:i/>
              </w:rPr>
              <w:t>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</w:t>
            </w:r>
            <w:r w:rsidR="000C469A">
              <w:rPr>
                <w:bCs/>
                <w:i/>
              </w:rPr>
              <w:t>,</w:t>
            </w:r>
            <w:r w:rsidR="001B005E">
              <w:rPr>
                <w:bCs/>
                <w:i/>
              </w:rPr>
              <w:t xml:space="preserve"> за исключением нежилых</w:t>
            </w:r>
            <w:r w:rsidR="000C469A">
              <w:rPr>
                <w:bCs/>
                <w:i/>
              </w:rPr>
              <w:t xml:space="preserve"> помещений</w:t>
            </w:r>
            <w:r w:rsidR="001B005E">
              <w:rPr>
                <w:bCs/>
                <w:i/>
              </w:rPr>
              <w:t xml:space="preserve"> </w:t>
            </w:r>
            <w:r w:rsidR="000C469A">
              <w:rPr>
                <w:bCs/>
                <w:i/>
              </w:rPr>
              <w:t xml:space="preserve">общей проектной площадью  </w:t>
            </w:r>
            <w:r w:rsidR="000C469A" w:rsidRPr="00166E44">
              <w:rPr>
                <w:bCs/>
                <w:i/>
              </w:rPr>
              <w:t>-</w:t>
            </w:r>
            <w:r w:rsidR="000C469A">
              <w:rPr>
                <w:bCs/>
                <w:i/>
              </w:rPr>
              <w:t xml:space="preserve"> </w:t>
            </w:r>
            <w:r w:rsidR="003E393C">
              <w:rPr>
                <w:bCs/>
                <w:i/>
              </w:rPr>
              <w:t xml:space="preserve">    2 789  кв.м.</w:t>
            </w:r>
            <w:r w:rsidR="00615715">
              <w:rPr>
                <w:bCs/>
                <w:i/>
              </w:rPr>
              <w:t>, указанных в пункте 2.7 настоящей проектной декларации</w:t>
            </w:r>
            <w:proofErr w:type="gramEnd"/>
          </w:p>
        </w:tc>
      </w:tr>
      <w:tr w:rsidR="003619C7" w:rsidTr="00055AEA">
        <w:trPr>
          <w:trHeight w:val="1083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619C7" w:rsidRPr="00055AEA" w:rsidRDefault="003619C7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Предполагаемый срок получения разрешения на ввод в эксплуатацию строящегося дома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3619C7" w:rsidRPr="00055AEA" w:rsidRDefault="000C469A" w:rsidP="0079305C">
            <w:pPr>
              <w:spacing w:after="0"/>
              <w:rPr>
                <w:bCs/>
                <w:i/>
                <w:highlight w:val="yellow"/>
              </w:rPr>
            </w:pPr>
            <w:r w:rsidRPr="000C469A">
              <w:rPr>
                <w:bCs/>
                <w:i/>
                <w:lang w:val="en-US"/>
              </w:rPr>
              <w:t>IV</w:t>
            </w:r>
            <w:r w:rsidR="003619C7" w:rsidRPr="000C469A">
              <w:rPr>
                <w:bCs/>
                <w:i/>
                <w:lang w:val="en-US"/>
              </w:rPr>
              <w:t xml:space="preserve"> </w:t>
            </w:r>
            <w:r w:rsidR="003619C7" w:rsidRPr="000C469A">
              <w:rPr>
                <w:bCs/>
                <w:i/>
              </w:rPr>
              <w:t>квартал 201</w:t>
            </w:r>
            <w:r w:rsidR="0079305C">
              <w:rPr>
                <w:bCs/>
                <w:i/>
              </w:rPr>
              <w:t xml:space="preserve">6 </w:t>
            </w:r>
            <w:r w:rsidR="003619C7" w:rsidRPr="000C469A">
              <w:rPr>
                <w:bCs/>
                <w:i/>
              </w:rPr>
              <w:t xml:space="preserve"> года</w:t>
            </w:r>
          </w:p>
        </w:tc>
      </w:tr>
      <w:tr w:rsidR="003619C7" w:rsidTr="00055AEA">
        <w:trPr>
          <w:trHeight w:val="1083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619C7" w:rsidRPr="00055AEA" w:rsidRDefault="003619C7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Орган, уполномоченный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6363" w:type="dxa"/>
            <w:shd w:val="clear" w:color="auto" w:fill="D2EAF1"/>
            <w:vAlign w:val="center"/>
          </w:tcPr>
          <w:p w:rsidR="003619C7" w:rsidRPr="00055AEA" w:rsidRDefault="003619C7" w:rsidP="00055AEA">
            <w:pPr>
              <w:spacing w:after="0"/>
              <w:rPr>
                <w:bCs/>
                <w:i/>
              </w:rPr>
            </w:pPr>
            <w:r w:rsidRPr="00055AEA">
              <w:rPr>
                <w:bCs/>
                <w:i/>
              </w:rPr>
              <w:t>Администрация города Рязани</w:t>
            </w:r>
          </w:p>
        </w:tc>
      </w:tr>
      <w:tr w:rsidR="003619C7" w:rsidTr="00055AEA">
        <w:trPr>
          <w:trHeight w:val="547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619C7" w:rsidRPr="00055AEA" w:rsidRDefault="003619C7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619C7" w:rsidRDefault="003619C7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Застройщик относит к рискам следующие обстоятельства:</w:t>
            </w:r>
          </w:p>
          <w:p w:rsidR="00615715" w:rsidRPr="00055AEA" w:rsidRDefault="00615715" w:rsidP="00055AEA">
            <w:pPr>
              <w:spacing w:after="0"/>
              <w:jc w:val="both"/>
              <w:rPr>
                <w:bCs/>
                <w:i/>
              </w:rPr>
            </w:pPr>
          </w:p>
          <w:p w:rsidR="003619C7" w:rsidRPr="00055AEA" w:rsidRDefault="003619C7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3619C7" w:rsidRPr="00055AEA" w:rsidRDefault="003619C7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- мятеж, бунт, беспорядки, военные действия и иные общественные события;</w:t>
            </w:r>
          </w:p>
          <w:p w:rsidR="003619C7" w:rsidRPr="00055AEA" w:rsidRDefault="003619C7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3619C7" w:rsidRPr="00055AEA" w:rsidRDefault="003619C7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 xml:space="preserve">- любые аналогичные события и обстоятельства, выходящие за рамки контроля Застройщика. </w:t>
            </w:r>
          </w:p>
          <w:p w:rsidR="003619C7" w:rsidRPr="00055AEA" w:rsidRDefault="003619C7" w:rsidP="00055AEA">
            <w:pPr>
              <w:spacing w:after="0"/>
              <w:jc w:val="both"/>
              <w:rPr>
                <w:bCs/>
              </w:rPr>
            </w:pPr>
            <w:r w:rsidRPr="00055AEA">
              <w:rPr>
                <w:bCs/>
                <w:i/>
              </w:rPr>
              <w:t>Добровольное страхование на момент опубликования проектной декларации не осуществляется</w:t>
            </w:r>
          </w:p>
        </w:tc>
      </w:tr>
      <w:tr w:rsidR="003619C7" w:rsidTr="0057502E">
        <w:trPr>
          <w:trHeight w:val="547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619C7" w:rsidRPr="00055AEA" w:rsidRDefault="003619C7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 xml:space="preserve">Планируемая стоимость </w:t>
            </w:r>
            <w:r w:rsidRPr="00055AEA">
              <w:rPr>
                <w:b/>
                <w:bCs/>
                <w:color w:val="FFFFFF"/>
              </w:rPr>
              <w:lastRenderedPageBreak/>
              <w:t>строительства</w:t>
            </w:r>
          </w:p>
        </w:tc>
        <w:tc>
          <w:tcPr>
            <w:tcW w:w="6363" w:type="dxa"/>
            <w:shd w:val="clear" w:color="auto" w:fill="D2EAF1"/>
            <w:vAlign w:val="center"/>
          </w:tcPr>
          <w:p w:rsidR="003619C7" w:rsidRPr="00055AEA" w:rsidRDefault="0079305C" w:rsidP="00676E4D">
            <w:pPr>
              <w:spacing w:after="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627 000 000 </w:t>
            </w:r>
            <w:r w:rsidR="00CB4CE6" w:rsidRPr="000C469A">
              <w:rPr>
                <w:bCs/>
                <w:i/>
              </w:rPr>
              <w:t>рублей</w:t>
            </w:r>
          </w:p>
        </w:tc>
      </w:tr>
      <w:tr w:rsidR="003619C7" w:rsidTr="00055AEA">
        <w:trPr>
          <w:trHeight w:val="547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619C7" w:rsidRPr="00055AEA" w:rsidRDefault="003619C7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lastRenderedPageBreak/>
              <w:t>Перечень организаций, осуществляющих строительно-монтажные и другие работы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9305C" w:rsidRDefault="0079305C" w:rsidP="0079305C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ООО «</w:t>
            </w:r>
            <w:proofErr w:type="spellStart"/>
            <w:r>
              <w:rPr>
                <w:bCs/>
                <w:i/>
              </w:rPr>
              <w:t>ВеллКом-Групп</w:t>
            </w:r>
            <w:proofErr w:type="spellEnd"/>
            <w:r>
              <w:rPr>
                <w:bCs/>
                <w:i/>
              </w:rPr>
              <w:t>»</w:t>
            </w:r>
          </w:p>
          <w:p w:rsidR="003619C7" w:rsidRPr="00055AEA" w:rsidRDefault="003619C7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ООО «</w:t>
            </w:r>
            <w:proofErr w:type="spellStart"/>
            <w:r w:rsidRPr="00055AEA">
              <w:rPr>
                <w:bCs/>
                <w:i/>
              </w:rPr>
              <w:t>Долстрим</w:t>
            </w:r>
            <w:proofErr w:type="spellEnd"/>
            <w:r w:rsidRPr="00055AEA">
              <w:rPr>
                <w:bCs/>
                <w:i/>
              </w:rPr>
              <w:t>»</w:t>
            </w:r>
          </w:p>
          <w:p w:rsidR="003619C7" w:rsidRPr="00055AEA" w:rsidRDefault="003619C7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ООО «</w:t>
            </w:r>
            <w:proofErr w:type="spellStart"/>
            <w:r w:rsidRPr="00055AEA">
              <w:rPr>
                <w:bCs/>
                <w:i/>
              </w:rPr>
              <w:t>Электро</w:t>
            </w:r>
            <w:r w:rsidR="00615715">
              <w:rPr>
                <w:bCs/>
                <w:i/>
              </w:rPr>
              <w:t>Строй</w:t>
            </w:r>
            <w:r w:rsidRPr="00055AEA">
              <w:rPr>
                <w:bCs/>
                <w:i/>
              </w:rPr>
              <w:t>Монт</w:t>
            </w:r>
            <w:r w:rsidR="005D032A" w:rsidRPr="00055AEA">
              <w:rPr>
                <w:bCs/>
                <w:i/>
              </w:rPr>
              <w:t>а</w:t>
            </w:r>
            <w:r w:rsidRPr="00055AEA">
              <w:rPr>
                <w:bCs/>
                <w:i/>
              </w:rPr>
              <w:t>ж</w:t>
            </w:r>
            <w:proofErr w:type="spellEnd"/>
            <w:r w:rsidRPr="00055AEA">
              <w:rPr>
                <w:bCs/>
                <w:i/>
              </w:rPr>
              <w:t>»</w:t>
            </w:r>
          </w:p>
          <w:p w:rsidR="005D032A" w:rsidRPr="00055AEA" w:rsidRDefault="005D032A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ОАО «</w:t>
            </w:r>
            <w:proofErr w:type="spellStart"/>
            <w:r w:rsidRPr="00055AEA">
              <w:rPr>
                <w:bCs/>
                <w:i/>
              </w:rPr>
              <w:t>Рязаньгоргаз</w:t>
            </w:r>
            <w:proofErr w:type="spellEnd"/>
            <w:r w:rsidRPr="00055AEA">
              <w:rPr>
                <w:bCs/>
                <w:i/>
              </w:rPr>
              <w:t>»</w:t>
            </w:r>
          </w:p>
          <w:p w:rsidR="005D032A" w:rsidRPr="00055AEA" w:rsidRDefault="005D032A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ООО «Фонд пожарной безопасности»</w:t>
            </w:r>
          </w:p>
          <w:p w:rsidR="003E393C" w:rsidRDefault="003E393C" w:rsidP="00055AE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ООО «</w:t>
            </w:r>
            <w:proofErr w:type="spellStart"/>
            <w:r>
              <w:rPr>
                <w:bCs/>
                <w:i/>
              </w:rPr>
              <w:t>Вел</w:t>
            </w:r>
            <w:r w:rsidR="0079305C">
              <w:rPr>
                <w:bCs/>
                <w:i/>
              </w:rPr>
              <w:t>лК</w:t>
            </w:r>
            <w:r>
              <w:rPr>
                <w:bCs/>
                <w:i/>
              </w:rPr>
              <w:t>ом</w:t>
            </w:r>
            <w:r w:rsidR="0079305C">
              <w:rPr>
                <w:bCs/>
                <w:i/>
              </w:rPr>
              <w:t>-Групп</w:t>
            </w:r>
            <w:proofErr w:type="spellEnd"/>
            <w:r w:rsidR="0079305C">
              <w:rPr>
                <w:bCs/>
                <w:i/>
              </w:rPr>
              <w:t>»</w:t>
            </w:r>
          </w:p>
          <w:p w:rsidR="005D032A" w:rsidRDefault="005D032A" w:rsidP="00055AEA">
            <w:pPr>
              <w:spacing w:after="0"/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ООО «</w:t>
            </w:r>
            <w:proofErr w:type="spellStart"/>
            <w:r w:rsidRPr="00055AEA">
              <w:rPr>
                <w:bCs/>
                <w:i/>
              </w:rPr>
              <w:t>Лифтремонт-Сервис</w:t>
            </w:r>
            <w:proofErr w:type="spellEnd"/>
            <w:r w:rsidRPr="00055AEA">
              <w:rPr>
                <w:bCs/>
                <w:i/>
              </w:rPr>
              <w:t>»</w:t>
            </w:r>
          </w:p>
          <w:p w:rsidR="001B005E" w:rsidRDefault="00615715" w:rsidP="00055AE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ООО </w:t>
            </w:r>
            <w:r w:rsidR="000C469A">
              <w:rPr>
                <w:bCs/>
                <w:i/>
              </w:rPr>
              <w:t>«В</w:t>
            </w:r>
            <w:r w:rsidR="001B005E">
              <w:rPr>
                <w:bCs/>
                <w:i/>
              </w:rPr>
              <w:t>иктория</w:t>
            </w:r>
            <w:r>
              <w:rPr>
                <w:bCs/>
                <w:i/>
              </w:rPr>
              <w:t>-Строй</w:t>
            </w:r>
            <w:r w:rsidR="000C469A">
              <w:rPr>
                <w:bCs/>
                <w:i/>
              </w:rPr>
              <w:t>»</w:t>
            </w:r>
          </w:p>
          <w:p w:rsidR="001B005E" w:rsidRDefault="001B005E" w:rsidP="00055AE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</w:t>
            </w:r>
            <w:r w:rsidR="000C469A">
              <w:rPr>
                <w:bCs/>
                <w:i/>
              </w:rPr>
              <w:t>ОО «</w:t>
            </w:r>
            <w:proofErr w:type="spellStart"/>
            <w:r w:rsidR="000C469A">
              <w:rPr>
                <w:bCs/>
                <w:i/>
              </w:rPr>
              <w:t>А</w:t>
            </w:r>
            <w:r>
              <w:rPr>
                <w:bCs/>
                <w:i/>
              </w:rPr>
              <w:t>ква-дом</w:t>
            </w:r>
            <w:proofErr w:type="spellEnd"/>
            <w:r w:rsidR="000C469A">
              <w:rPr>
                <w:bCs/>
                <w:i/>
              </w:rPr>
              <w:t>»</w:t>
            </w:r>
          </w:p>
          <w:p w:rsidR="001B005E" w:rsidRDefault="000C469A" w:rsidP="000C469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ООО «ЖБК-8»</w:t>
            </w:r>
          </w:p>
          <w:p w:rsidR="00615715" w:rsidRDefault="00615715" w:rsidP="000C469A">
            <w:pPr>
              <w:spacing w:after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ООО «Драйв»</w:t>
            </w:r>
          </w:p>
          <w:p w:rsidR="00615715" w:rsidRPr="00055AEA" w:rsidRDefault="00615715" w:rsidP="0079305C">
            <w:pPr>
              <w:spacing w:after="0"/>
              <w:jc w:val="both"/>
              <w:rPr>
                <w:bCs/>
                <w:i/>
                <w:highlight w:val="yellow"/>
              </w:rPr>
            </w:pPr>
            <w:r>
              <w:rPr>
                <w:bCs/>
                <w:i/>
              </w:rPr>
              <w:t>ЗАО «РЗ ЖБИ-2»</w:t>
            </w:r>
          </w:p>
        </w:tc>
      </w:tr>
      <w:tr w:rsidR="003619C7" w:rsidTr="00055AEA">
        <w:trPr>
          <w:trHeight w:val="547"/>
        </w:trPr>
        <w:tc>
          <w:tcPr>
            <w:tcW w:w="3663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vAlign w:val="center"/>
          </w:tcPr>
          <w:p w:rsidR="003619C7" w:rsidRPr="00055AEA" w:rsidRDefault="003619C7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Способ обеспечений исполнений обязательств Застройщика по договорам</w:t>
            </w:r>
          </w:p>
        </w:tc>
        <w:tc>
          <w:tcPr>
            <w:tcW w:w="6363" w:type="dxa"/>
            <w:shd w:val="clear" w:color="auto" w:fill="D2EAF1"/>
          </w:tcPr>
          <w:p w:rsidR="003619C7" w:rsidRPr="00055AEA" w:rsidRDefault="003619C7" w:rsidP="00055AEA">
            <w:pPr>
              <w:jc w:val="both"/>
              <w:rPr>
                <w:bCs/>
                <w:i/>
                <w:highlight w:val="yellow"/>
              </w:rPr>
            </w:pPr>
            <w:r w:rsidRPr="00055AEA">
              <w:rPr>
                <w:bCs/>
                <w:i/>
              </w:rPr>
              <w:t>Залог  в соответствии со ст. 13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</w:t>
            </w:r>
          </w:p>
        </w:tc>
      </w:tr>
      <w:tr w:rsidR="003619C7" w:rsidTr="00055AEA">
        <w:trPr>
          <w:trHeight w:val="540"/>
        </w:trPr>
        <w:tc>
          <w:tcPr>
            <w:tcW w:w="3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vAlign w:val="center"/>
          </w:tcPr>
          <w:p w:rsidR="003619C7" w:rsidRPr="00055AEA" w:rsidRDefault="003619C7" w:rsidP="00055AEA">
            <w:pPr>
              <w:pStyle w:val="a9"/>
              <w:numPr>
                <w:ilvl w:val="1"/>
                <w:numId w:val="3"/>
              </w:numPr>
              <w:tabs>
                <w:tab w:val="left" w:pos="390"/>
              </w:tabs>
              <w:rPr>
                <w:b/>
                <w:bCs/>
                <w:color w:val="FFFFFF"/>
              </w:rPr>
            </w:pPr>
            <w:r w:rsidRPr="00055AEA">
              <w:rPr>
                <w:b/>
                <w:bCs/>
                <w:color w:val="FFFFFF"/>
              </w:rPr>
              <w:t>Иные договора и сделки по привлечению денежных сре</w:t>
            </w:r>
            <w:proofErr w:type="gramStart"/>
            <w:r w:rsidRPr="00055AEA">
              <w:rPr>
                <w:b/>
                <w:bCs/>
                <w:color w:val="FFFFFF"/>
              </w:rPr>
              <w:t>дств дл</w:t>
            </w:r>
            <w:proofErr w:type="gramEnd"/>
            <w:r w:rsidRPr="00055AEA">
              <w:rPr>
                <w:b/>
                <w:bCs/>
                <w:color w:val="FFFFFF"/>
              </w:rPr>
              <w:t>я строительства</w:t>
            </w:r>
          </w:p>
        </w:tc>
        <w:tc>
          <w:tcPr>
            <w:tcW w:w="6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3619C7" w:rsidRPr="00055AEA" w:rsidRDefault="003619C7" w:rsidP="00055AEA">
            <w:pPr>
              <w:jc w:val="both"/>
              <w:rPr>
                <w:bCs/>
                <w:i/>
              </w:rPr>
            </w:pPr>
            <w:r w:rsidRPr="00055AEA">
              <w:rPr>
                <w:bCs/>
                <w:i/>
              </w:rPr>
              <w:t>Заключение иных договоров и сделок возможно в соответствии с действующим законодательством РФ</w:t>
            </w:r>
          </w:p>
        </w:tc>
      </w:tr>
    </w:tbl>
    <w:p w:rsidR="002602BF" w:rsidRDefault="002602BF" w:rsidP="004C7993">
      <w:pPr>
        <w:jc w:val="both"/>
      </w:pPr>
    </w:p>
    <w:p w:rsidR="007E6265" w:rsidRDefault="0018376A" w:rsidP="004C7993">
      <w:pPr>
        <w:jc w:val="both"/>
      </w:pPr>
      <w:r w:rsidRPr="0018376A">
        <w:t xml:space="preserve">Проектная декларация в данной редакции опубликована в сети Интернет на сайте </w:t>
      </w:r>
      <w:r w:rsidR="008D2230">
        <w:t xml:space="preserve">                            </w:t>
      </w:r>
      <w:hyperlink r:id="rId8" w:history="1">
        <w:r w:rsidRPr="005961CD">
          <w:rPr>
            <w:rStyle w:val="a6"/>
          </w:rPr>
          <w:t>http://razvitie-stroy62.ru</w:t>
        </w:r>
      </w:hyperlink>
      <w:r w:rsidR="00205522">
        <w:t xml:space="preserve"> «03</w:t>
      </w:r>
      <w:r w:rsidRPr="0018376A">
        <w:t xml:space="preserve">» </w:t>
      </w:r>
      <w:r w:rsidR="001C39FF">
        <w:t>июля</w:t>
      </w:r>
      <w:r w:rsidRPr="0018376A">
        <w:t xml:space="preserve"> 201</w:t>
      </w:r>
      <w:r w:rsidR="0079305C">
        <w:t>4</w:t>
      </w:r>
      <w:r w:rsidRPr="0018376A">
        <w:t xml:space="preserve">  года.</w:t>
      </w:r>
    </w:p>
    <w:p w:rsidR="0014551E" w:rsidRDefault="0014551E" w:rsidP="004C7993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6"/>
      </w:tblGrid>
      <w:tr w:rsidR="00993831" w:rsidTr="00993831">
        <w:trPr>
          <w:trHeight w:val="567"/>
        </w:trPr>
        <w:tc>
          <w:tcPr>
            <w:tcW w:w="7621" w:type="dxa"/>
          </w:tcPr>
          <w:p w:rsidR="00993831" w:rsidRDefault="00993831" w:rsidP="00C748ED">
            <w:pPr>
              <w:spacing w:after="0" w:line="240" w:lineRule="auto"/>
            </w:pPr>
          </w:p>
        </w:tc>
        <w:tc>
          <w:tcPr>
            <w:tcW w:w="2516" w:type="dxa"/>
          </w:tcPr>
          <w:p w:rsidR="00993831" w:rsidRDefault="00993831" w:rsidP="004C7993">
            <w:pPr>
              <w:jc w:val="both"/>
            </w:pPr>
          </w:p>
        </w:tc>
      </w:tr>
    </w:tbl>
    <w:p w:rsidR="00993831" w:rsidRDefault="00993831" w:rsidP="004C7993">
      <w:pPr>
        <w:jc w:val="both"/>
      </w:pPr>
    </w:p>
    <w:p w:rsidR="0014551E" w:rsidRDefault="0014551E" w:rsidP="004C7993">
      <w:pPr>
        <w:jc w:val="both"/>
      </w:pPr>
    </w:p>
    <w:p w:rsidR="0014551E" w:rsidRDefault="0014551E" w:rsidP="004C7993">
      <w:pPr>
        <w:jc w:val="both"/>
      </w:pPr>
    </w:p>
    <w:sectPr w:rsidR="0014551E" w:rsidSect="00667F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259"/>
    <w:multiLevelType w:val="hybridMultilevel"/>
    <w:tmpl w:val="97D6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963"/>
    <w:multiLevelType w:val="multilevel"/>
    <w:tmpl w:val="6F1E5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1D77C3F"/>
    <w:multiLevelType w:val="multilevel"/>
    <w:tmpl w:val="701C4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4763D08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>
    <w:nsid w:val="76804F70"/>
    <w:multiLevelType w:val="multilevel"/>
    <w:tmpl w:val="8FB0E2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93"/>
    <w:rsid w:val="0000147D"/>
    <w:rsid w:val="00005E89"/>
    <w:rsid w:val="00055AEA"/>
    <w:rsid w:val="00071301"/>
    <w:rsid w:val="0008040A"/>
    <w:rsid w:val="000C469A"/>
    <w:rsid w:val="000F2F36"/>
    <w:rsid w:val="001029DB"/>
    <w:rsid w:val="0010482D"/>
    <w:rsid w:val="00114461"/>
    <w:rsid w:val="00130C54"/>
    <w:rsid w:val="0014551E"/>
    <w:rsid w:val="0015455E"/>
    <w:rsid w:val="00166E44"/>
    <w:rsid w:val="0018376A"/>
    <w:rsid w:val="001A0450"/>
    <w:rsid w:val="001B005E"/>
    <w:rsid w:val="001C39FF"/>
    <w:rsid w:val="001C5817"/>
    <w:rsid w:val="001F07BC"/>
    <w:rsid w:val="00204FDA"/>
    <w:rsid w:val="00205522"/>
    <w:rsid w:val="0021243F"/>
    <w:rsid w:val="00217D52"/>
    <w:rsid w:val="002602BF"/>
    <w:rsid w:val="00274D01"/>
    <w:rsid w:val="002834C0"/>
    <w:rsid w:val="002B191A"/>
    <w:rsid w:val="002F4D95"/>
    <w:rsid w:val="00305F6D"/>
    <w:rsid w:val="003619C7"/>
    <w:rsid w:val="003A3BF3"/>
    <w:rsid w:val="003B0D16"/>
    <w:rsid w:val="003B312E"/>
    <w:rsid w:val="003E393C"/>
    <w:rsid w:val="003E720C"/>
    <w:rsid w:val="00424761"/>
    <w:rsid w:val="00424FAC"/>
    <w:rsid w:val="0043597E"/>
    <w:rsid w:val="00435AF7"/>
    <w:rsid w:val="004715E5"/>
    <w:rsid w:val="004C7993"/>
    <w:rsid w:val="004E5A28"/>
    <w:rsid w:val="004F1C3B"/>
    <w:rsid w:val="0054587C"/>
    <w:rsid w:val="00547A26"/>
    <w:rsid w:val="005671F3"/>
    <w:rsid w:val="0057502E"/>
    <w:rsid w:val="005C3364"/>
    <w:rsid w:val="005C4B41"/>
    <w:rsid w:val="005D032A"/>
    <w:rsid w:val="005F4380"/>
    <w:rsid w:val="00606F59"/>
    <w:rsid w:val="00615715"/>
    <w:rsid w:val="006346DC"/>
    <w:rsid w:val="00635680"/>
    <w:rsid w:val="00651EC2"/>
    <w:rsid w:val="0066392C"/>
    <w:rsid w:val="00665533"/>
    <w:rsid w:val="00667FD8"/>
    <w:rsid w:val="00676E4D"/>
    <w:rsid w:val="006871C9"/>
    <w:rsid w:val="00691EBD"/>
    <w:rsid w:val="006A1DEE"/>
    <w:rsid w:val="006C221F"/>
    <w:rsid w:val="006E6959"/>
    <w:rsid w:val="006F2BEF"/>
    <w:rsid w:val="006F5264"/>
    <w:rsid w:val="007012BE"/>
    <w:rsid w:val="007034E7"/>
    <w:rsid w:val="00706855"/>
    <w:rsid w:val="00727B6B"/>
    <w:rsid w:val="007379CC"/>
    <w:rsid w:val="00753DA5"/>
    <w:rsid w:val="00773C43"/>
    <w:rsid w:val="0079305C"/>
    <w:rsid w:val="007B0BAB"/>
    <w:rsid w:val="007B3CC4"/>
    <w:rsid w:val="007C2BF7"/>
    <w:rsid w:val="007E6265"/>
    <w:rsid w:val="007F4639"/>
    <w:rsid w:val="008036A6"/>
    <w:rsid w:val="00810751"/>
    <w:rsid w:val="0082606F"/>
    <w:rsid w:val="00833ED2"/>
    <w:rsid w:val="00867016"/>
    <w:rsid w:val="008922C4"/>
    <w:rsid w:val="00896246"/>
    <w:rsid w:val="008C68BB"/>
    <w:rsid w:val="008D2230"/>
    <w:rsid w:val="008D6269"/>
    <w:rsid w:val="009451CD"/>
    <w:rsid w:val="00954456"/>
    <w:rsid w:val="0097042E"/>
    <w:rsid w:val="00993831"/>
    <w:rsid w:val="009B0AFD"/>
    <w:rsid w:val="009D208E"/>
    <w:rsid w:val="009D6350"/>
    <w:rsid w:val="00A44611"/>
    <w:rsid w:val="00A538FA"/>
    <w:rsid w:val="00A55E3D"/>
    <w:rsid w:val="00A85685"/>
    <w:rsid w:val="00A947FE"/>
    <w:rsid w:val="00AA5DE1"/>
    <w:rsid w:val="00AA6003"/>
    <w:rsid w:val="00AA66DB"/>
    <w:rsid w:val="00AE3D5C"/>
    <w:rsid w:val="00B06F5E"/>
    <w:rsid w:val="00B11391"/>
    <w:rsid w:val="00B1164A"/>
    <w:rsid w:val="00B5180B"/>
    <w:rsid w:val="00B70F5F"/>
    <w:rsid w:val="00BA498E"/>
    <w:rsid w:val="00BE06F2"/>
    <w:rsid w:val="00BE4B0E"/>
    <w:rsid w:val="00BF7156"/>
    <w:rsid w:val="00C01994"/>
    <w:rsid w:val="00C31D2F"/>
    <w:rsid w:val="00C748ED"/>
    <w:rsid w:val="00CB4CE6"/>
    <w:rsid w:val="00CB528B"/>
    <w:rsid w:val="00CD2761"/>
    <w:rsid w:val="00CF5951"/>
    <w:rsid w:val="00D510FE"/>
    <w:rsid w:val="00D77EB8"/>
    <w:rsid w:val="00D82202"/>
    <w:rsid w:val="00D8719B"/>
    <w:rsid w:val="00D9171E"/>
    <w:rsid w:val="00D91CBC"/>
    <w:rsid w:val="00DD1893"/>
    <w:rsid w:val="00DD446C"/>
    <w:rsid w:val="00DD70BD"/>
    <w:rsid w:val="00DF066D"/>
    <w:rsid w:val="00E81F08"/>
    <w:rsid w:val="00F12ED2"/>
    <w:rsid w:val="00F20A2C"/>
    <w:rsid w:val="00F528FD"/>
    <w:rsid w:val="00F967A5"/>
    <w:rsid w:val="00FA1859"/>
    <w:rsid w:val="00FA5AED"/>
    <w:rsid w:val="00FF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99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99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C7993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4C7993"/>
    <w:rPr>
      <w:color w:val="0000FF"/>
      <w:u w:val="single"/>
    </w:rPr>
  </w:style>
  <w:style w:type="paragraph" w:customStyle="1" w:styleId="2">
    <w:name w:val="Знак Знак Знак2 Знак"/>
    <w:basedOn w:val="a"/>
    <w:rsid w:val="004C799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4C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993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2602BF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5">
    <w:name w:val="Light List Accent 5"/>
    <w:basedOn w:val="a1"/>
    <w:uiPriority w:val="61"/>
    <w:rsid w:val="002602B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Colorful Grid Accent 5"/>
    <w:basedOn w:val="a1"/>
    <w:uiPriority w:val="73"/>
    <w:rsid w:val="002602B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1">
    <w:name w:val="Colorful Grid Accent 1"/>
    <w:basedOn w:val="a1"/>
    <w:uiPriority w:val="73"/>
    <w:rsid w:val="002602B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5">
    <w:name w:val="Medium List 2 Accent 5"/>
    <w:basedOn w:val="a1"/>
    <w:uiPriority w:val="66"/>
    <w:rsid w:val="002602B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2602B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Shading 2 Accent 5"/>
    <w:basedOn w:val="a1"/>
    <w:uiPriority w:val="64"/>
    <w:rsid w:val="002602B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602B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9">
    <w:name w:val="List Paragraph"/>
    <w:basedOn w:val="a"/>
    <w:uiPriority w:val="34"/>
    <w:qFormat/>
    <w:rsid w:val="008922C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D6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tie-stroy62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A96F-3E26-4EFF-AE63-5676C0A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9923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http://razvitie-stroy62.ru/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НИКС</cp:lastModifiedBy>
  <cp:revision>9</cp:revision>
  <cp:lastPrinted>2013-07-07T13:20:00Z</cp:lastPrinted>
  <dcterms:created xsi:type="dcterms:W3CDTF">2014-06-30T14:54:00Z</dcterms:created>
  <dcterms:modified xsi:type="dcterms:W3CDTF">2014-08-13T11:24:00Z</dcterms:modified>
</cp:coreProperties>
</file>